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val="de-DE"/>
              </w:rPr>
              <w:t>DATENSCHUTZRICHTLINIE</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val="de-DE"/>
              </w:rPr>
              <w:t>1.  Einleitung</w:t>
            </w:r>
          </w:p>
        </w:tc>
      </w:tr>
      <w:tr w:rsidR="009A00BE" w:rsidRPr="007227B1" w14:paraId="316AB302" w14:textId="77777777">
        <w:trPr>
          <w:trHeight w:val="1073"/>
        </w:trPr>
        <w:tc>
          <w:tcPr>
            <w:tcW w:w="9238" w:type="dxa"/>
          </w:tcPr>
          <w:p w14:paraId="316AB301" w14:textId="77777777" w:rsidR="009A00BE" w:rsidRPr="007227B1" w:rsidRDefault="00AF531F">
            <w:pPr>
              <w:pStyle w:val="TableParagraph"/>
              <w:ind w:right="55"/>
              <w:jc w:val="both"/>
              <w:rPr>
                <w:lang w:val="de-DE"/>
              </w:rPr>
            </w:pPr>
            <w:r>
              <w:rPr>
                <w:lang w:val="de-DE"/>
              </w:rPr>
              <w:t>Diese Datenschutzrichtlinie enthält Informationen darüber, wie Ihre personenbezogenen Daten erhoben, verarbeitet und genutzt werden, wenn Sie unsere Websites besuchen, unsere Spiele spielen, sich auf eine Stellenausschreibung bewerben, einen Newsletter abonnieren oder aus irgendeinem anderen Grund mit uns kommunizieren.</w:t>
            </w:r>
          </w:p>
        </w:tc>
      </w:tr>
      <w:tr w:rsidR="009A00BE" w:rsidRPr="007227B1" w14:paraId="316AB304" w14:textId="77777777">
        <w:trPr>
          <w:trHeight w:val="805"/>
        </w:trPr>
        <w:tc>
          <w:tcPr>
            <w:tcW w:w="9238" w:type="dxa"/>
          </w:tcPr>
          <w:p w14:paraId="316AB303" w14:textId="77777777" w:rsidR="009A00BE" w:rsidRPr="007227B1" w:rsidRDefault="00AF531F">
            <w:pPr>
              <w:pStyle w:val="TableParagraph"/>
              <w:spacing w:before="113"/>
              <w:rPr>
                <w:lang w:val="de-DE"/>
              </w:rPr>
            </w:pPr>
            <w:r>
              <w:rPr>
                <w:lang w:val="de-DE"/>
              </w:rPr>
              <w:t xml:space="preserve">Der Datenverantwortliche ist </w:t>
            </w:r>
            <w:proofErr w:type="spellStart"/>
            <w:r>
              <w:rPr>
                <w:lang w:val="de-DE"/>
              </w:rPr>
              <w:t>Gamepires</w:t>
            </w:r>
            <w:proofErr w:type="spellEnd"/>
            <w:r>
              <w:rPr>
                <w:lang w:val="de-DE"/>
              </w:rPr>
              <w:t> </w:t>
            </w:r>
            <w:proofErr w:type="spellStart"/>
            <w:r>
              <w:rPr>
                <w:lang w:val="de-DE"/>
              </w:rPr>
              <w:t>d.o.o</w:t>
            </w:r>
            <w:proofErr w:type="spellEnd"/>
            <w:r>
              <w:rPr>
                <w:lang w:val="de-DE"/>
              </w:rPr>
              <w:t>. mit Geschäftssitz in Zagreb, Kroatien, Slavonska avenija 6a, Steueridentifikationsnummer 06567129625 (im Folgenden „Gamepires“ oder „wir“ in allen flektierten Formen).</w:t>
            </w:r>
          </w:p>
        </w:tc>
      </w:tr>
      <w:tr w:rsidR="009A00BE" w:rsidRPr="002543D9" w14:paraId="316AB306" w14:textId="77777777">
        <w:trPr>
          <w:trHeight w:val="1075"/>
        </w:trPr>
        <w:tc>
          <w:tcPr>
            <w:tcW w:w="9238" w:type="dxa"/>
          </w:tcPr>
          <w:p w14:paraId="316AB305" w14:textId="77777777" w:rsidR="009A00BE" w:rsidRPr="007227B1" w:rsidRDefault="00AF531F">
            <w:pPr>
              <w:pStyle w:val="TableParagraph"/>
              <w:ind w:right="55"/>
              <w:jc w:val="both"/>
              <w:rPr>
                <w:lang w:val="de-DE"/>
              </w:rPr>
            </w:pPr>
            <w:r>
              <w:rPr>
                <w:lang w:val="de-DE"/>
              </w:rPr>
              <w:t>Personenbezogene Daten umfassen sämtliche Daten, die sich auf eine identifizierbare natürliche Person beziehen, sowie andere Daten, über die sich eine solche Person identifizieren lässt. Welche Ihrer Daten wir erheben und verarbeiten, hängt vom Wesen unserer Geschäftsbeziehung und dem Grund für unsere Kommunikation ab.</w:t>
            </w:r>
          </w:p>
        </w:tc>
      </w:tr>
      <w:tr w:rsidR="009A00BE" w:rsidRPr="002543D9" w14:paraId="316AB308" w14:textId="77777777">
        <w:trPr>
          <w:trHeight w:val="805"/>
        </w:trPr>
        <w:tc>
          <w:tcPr>
            <w:tcW w:w="9238" w:type="dxa"/>
          </w:tcPr>
          <w:p w14:paraId="316AB307" w14:textId="77777777" w:rsidR="009A00BE" w:rsidRPr="007227B1" w:rsidRDefault="00AF531F">
            <w:pPr>
              <w:pStyle w:val="TableParagraph"/>
              <w:rPr>
                <w:lang w:val="de-DE"/>
              </w:rPr>
            </w:pPr>
            <w:r>
              <w:rPr>
                <w:lang w:val="de-DE"/>
              </w:rPr>
              <w:t xml:space="preserve">Wenn Sie Fragen dazu haben, wie Ihre personenbezogenen Daten verarbeitet werden, kontaktieren Sie uns per E-Mail unter </w:t>
            </w:r>
            <w:hyperlink r:id="rId5">
              <w:r>
                <w:rPr>
                  <w:color w:val="0462C1"/>
                  <w:u w:val="single"/>
                  <w:lang w:val="de-DE"/>
                </w:rPr>
                <w:t>info@gamepires.com</w:t>
              </w:r>
            </w:hyperlink>
            <w:r>
              <w:rPr>
                <w:color w:val="0462C1"/>
                <w:lang w:val="de-DE"/>
              </w:rPr>
              <w:t xml:space="preserve"> </w:t>
            </w:r>
            <w:r>
              <w:rPr>
                <w:lang w:val="de-DE"/>
              </w:rPr>
              <w:t xml:space="preserve">oder per Post an folgende Adresse: Gamepires d.o.o., </w:t>
            </w:r>
            <w:proofErr w:type="spellStart"/>
            <w:r>
              <w:rPr>
                <w:lang w:val="de-DE"/>
              </w:rPr>
              <w:t>Slavonska</w:t>
            </w:r>
            <w:proofErr w:type="spellEnd"/>
            <w:r>
              <w:rPr>
                <w:lang w:val="de-DE"/>
              </w:rPr>
              <w:t xml:space="preserve"> </w:t>
            </w:r>
            <w:proofErr w:type="spellStart"/>
            <w:r>
              <w:rPr>
                <w:lang w:val="de-DE"/>
              </w:rPr>
              <w:t>avenija</w:t>
            </w:r>
            <w:proofErr w:type="spellEnd"/>
            <w:r>
              <w:rPr>
                <w:lang w:val="de-DE"/>
              </w:rPr>
              <w:t> 6a, Zagreb, Kroatien.</w:t>
            </w:r>
          </w:p>
        </w:tc>
      </w:tr>
      <w:tr w:rsidR="009A00BE" w:rsidRPr="007227B1" w14:paraId="316AB30A" w14:textId="77777777">
        <w:trPr>
          <w:trHeight w:val="536"/>
        </w:trPr>
        <w:tc>
          <w:tcPr>
            <w:tcW w:w="9238" w:type="dxa"/>
          </w:tcPr>
          <w:p w14:paraId="316AB309" w14:textId="77777777" w:rsidR="009A00BE" w:rsidRPr="007227B1" w:rsidRDefault="00AF531F">
            <w:pPr>
              <w:pStyle w:val="TableParagraph"/>
              <w:spacing w:before="113"/>
              <w:ind w:left="410"/>
              <w:rPr>
                <w:b/>
                <w:lang w:val="de-DE"/>
              </w:rPr>
            </w:pPr>
            <w:r>
              <w:rPr>
                <w:b/>
                <w:bCs/>
                <w:lang w:val="de-DE"/>
              </w:rPr>
              <w:t xml:space="preserve">2.  Welche personenbezogenen Daten wir </w:t>
            </w:r>
            <w:proofErr w:type="gramStart"/>
            <w:r>
              <w:rPr>
                <w:b/>
                <w:bCs/>
                <w:lang w:val="de-DE"/>
              </w:rPr>
              <w:t>verarbeiten</w:t>
            </w:r>
            <w:proofErr w:type="gramEnd"/>
          </w:p>
        </w:tc>
      </w:tr>
      <w:tr w:rsidR="009A00BE" w:rsidRPr="008B5EE0" w14:paraId="316AB30C" w14:textId="77777777">
        <w:trPr>
          <w:trHeight w:val="537"/>
        </w:trPr>
        <w:tc>
          <w:tcPr>
            <w:tcW w:w="9238" w:type="dxa"/>
          </w:tcPr>
          <w:p w14:paraId="316AB30B" w14:textId="77777777" w:rsidR="009A00BE" w:rsidRPr="008B5EE0" w:rsidRDefault="00AF531F">
            <w:pPr>
              <w:pStyle w:val="TableParagraph"/>
              <w:ind w:left="410"/>
            </w:pPr>
            <w:r>
              <w:rPr>
                <w:lang w:val="de-DE"/>
              </w:rPr>
              <w:t xml:space="preserve">A) </w:t>
            </w:r>
            <w:r>
              <w:rPr>
                <w:u w:val="single"/>
                <w:lang w:val="de-DE"/>
              </w:rPr>
              <w:t>Daten zu Bewerbern</w:t>
            </w:r>
          </w:p>
        </w:tc>
      </w:tr>
      <w:tr w:rsidR="009A00BE" w:rsidRPr="007227B1" w14:paraId="316AB30E" w14:textId="77777777">
        <w:trPr>
          <w:trHeight w:val="1075"/>
        </w:trPr>
        <w:tc>
          <w:tcPr>
            <w:tcW w:w="9238" w:type="dxa"/>
          </w:tcPr>
          <w:p w14:paraId="316AB30D" w14:textId="77777777" w:rsidR="009A00BE" w:rsidRPr="007227B1" w:rsidRDefault="00AF531F">
            <w:pPr>
              <w:pStyle w:val="TableParagraph"/>
              <w:ind w:right="50"/>
              <w:jc w:val="both"/>
              <w:rPr>
                <w:lang w:val="de-DE"/>
              </w:rPr>
            </w:pPr>
            <w:r>
              <w:rPr>
                <w:lang w:val="de-DE"/>
              </w:rPr>
              <w:t xml:space="preserve">Als potenzieller Arbeitgeber erhebt Gamepires Daten basierend auf den Unterlagen, die Bewerber über ein Formular auf unserer Website, per E-Mail oder auf andere Weise freiwillig bei uns einreichen, verarbeitet diese Daten und speichert sie in der </w:t>
            </w:r>
            <w:proofErr w:type="spellStart"/>
            <w:r>
              <w:rPr>
                <w:lang w:val="de-DE"/>
              </w:rPr>
              <w:t>Gamepires</w:t>
            </w:r>
            <w:proofErr w:type="spellEnd"/>
            <w:r>
              <w:rPr>
                <w:lang w:val="de-DE"/>
              </w:rPr>
              <w:t>-Datenbank.</w:t>
            </w:r>
          </w:p>
        </w:tc>
      </w:tr>
      <w:tr w:rsidR="009A00BE" w:rsidRPr="007227B1" w14:paraId="316AB310" w14:textId="77777777">
        <w:trPr>
          <w:trHeight w:val="1341"/>
        </w:trPr>
        <w:tc>
          <w:tcPr>
            <w:tcW w:w="9238" w:type="dxa"/>
          </w:tcPr>
          <w:p w14:paraId="316AB30F" w14:textId="77777777" w:rsidR="009A00BE" w:rsidRPr="007227B1" w:rsidRDefault="00AF531F">
            <w:pPr>
              <w:pStyle w:val="TableParagraph"/>
              <w:ind w:right="48"/>
              <w:jc w:val="both"/>
              <w:rPr>
                <w:lang w:val="de-DE"/>
              </w:rPr>
            </w:pPr>
            <w:proofErr w:type="spellStart"/>
            <w:r>
              <w:rPr>
                <w:lang w:val="de-DE"/>
              </w:rPr>
              <w:t>Gamepires</w:t>
            </w:r>
            <w:proofErr w:type="spellEnd"/>
            <w:r>
              <w:rPr>
                <w:lang w:val="de-DE"/>
              </w:rPr>
              <w:t xml:space="preserve"> verarbeitet Daten von Bewerbern auf Grundlage von deren Einwilligung und für die folgenden Zwecke: Um auszuwählen, wer eingestellt wird; um sich mit Bewerbern zu ihrer Bewerbung auszutauschen; um die potenzielle Begründung eines Arbeitsverhältnisses vorzubereiten; um seinen rechtlichen Pflichten nachzukommen; und </w:t>
            </w:r>
            <w:proofErr w:type="gramStart"/>
            <w:r>
              <w:rPr>
                <w:lang w:val="de-DE"/>
              </w:rPr>
              <w:t>um nicht ausgewählten Bewerbern</w:t>
            </w:r>
            <w:proofErr w:type="gramEnd"/>
            <w:r>
              <w:rPr>
                <w:lang w:val="de-DE"/>
              </w:rPr>
              <w:t xml:space="preserve"> möglicherweise zu einem späteren Zeitpunkt eine Stelle anzubieten.</w:t>
            </w:r>
          </w:p>
        </w:tc>
      </w:tr>
      <w:tr w:rsidR="009A00BE" w:rsidRPr="002543D9" w14:paraId="316AB312" w14:textId="77777777">
        <w:trPr>
          <w:trHeight w:val="1613"/>
        </w:trPr>
        <w:tc>
          <w:tcPr>
            <w:tcW w:w="9238" w:type="dxa"/>
          </w:tcPr>
          <w:p w14:paraId="316AB311" w14:textId="77777777" w:rsidR="009A00BE" w:rsidRPr="007227B1" w:rsidRDefault="00AF531F">
            <w:pPr>
              <w:pStyle w:val="TableParagraph"/>
              <w:ind w:right="47"/>
              <w:jc w:val="both"/>
              <w:rPr>
                <w:lang w:val="de-DE"/>
              </w:rPr>
            </w:pPr>
            <w:r>
              <w:rPr>
                <w:lang w:val="de-DE"/>
              </w:rPr>
              <w:t xml:space="preserve">Im Allgemeinen werden Daten von Bewerbern gespeichert, bis die jeweilige Bewerbungsphase abgeschlossen ist, </w:t>
            </w:r>
            <w:proofErr w:type="gramStart"/>
            <w:r>
              <w:rPr>
                <w:lang w:val="de-DE"/>
              </w:rPr>
              <w:t>d. h.</w:t>
            </w:r>
            <w:proofErr w:type="gramEnd"/>
            <w:r>
              <w:rPr>
                <w:lang w:val="de-DE"/>
              </w:rPr>
              <w:t xml:space="preserve"> bis die ausgewählten Bewerber ein Arbeitsverhältnis bei uns begonnen haben. Daten von nicht ausgewählten Bewerbern sowie von Bewerbern, die eine Initiativbewerbung eingereicht haben, werden auf Basis ihrer Einwilligung nach Besetzung der Stelle – also nach Eingang der Bewerbung – für einen Zeitraum von fünf Jahren gespeichert, um ihnen möglicherweise zu einem späteren Zeitpunkt eine Anstellung anbieten zu können.</w:t>
            </w:r>
          </w:p>
        </w:tc>
      </w:tr>
      <w:tr w:rsidR="009A00BE" w:rsidRPr="007227B1" w14:paraId="316AB314" w14:textId="77777777">
        <w:trPr>
          <w:trHeight w:val="514"/>
        </w:trPr>
        <w:tc>
          <w:tcPr>
            <w:tcW w:w="9238" w:type="dxa"/>
          </w:tcPr>
          <w:p w14:paraId="316AB313" w14:textId="77777777" w:rsidR="009A00BE" w:rsidRPr="007227B1" w:rsidRDefault="00AF531F">
            <w:pPr>
              <w:pStyle w:val="TableParagraph"/>
              <w:spacing w:before="115"/>
              <w:rPr>
                <w:lang w:val="de-DE"/>
              </w:rPr>
            </w:pPr>
            <w:proofErr w:type="spellStart"/>
            <w:r>
              <w:rPr>
                <w:lang w:val="de-DE"/>
              </w:rPr>
              <w:t>Gamepires</w:t>
            </w:r>
            <w:proofErr w:type="spellEnd"/>
            <w:r>
              <w:rPr>
                <w:lang w:val="de-DE"/>
              </w:rPr>
              <w:t xml:space="preserve"> erhebt folgende Daten zu Bewerbern:</w:t>
            </w:r>
          </w:p>
        </w:tc>
      </w:tr>
      <w:tr w:rsidR="009A00BE" w:rsidRPr="008B5EE0" w14:paraId="316AB316" w14:textId="77777777">
        <w:trPr>
          <w:trHeight w:val="414"/>
        </w:trPr>
        <w:tc>
          <w:tcPr>
            <w:tcW w:w="9238" w:type="dxa"/>
          </w:tcPr>
          <w:p w14:paraId="316AB315" w14:textId="77777777" w:rsidR="009A00BE" w:rsidRPr="008B5EE0" w:rsidRDefault="00AF531F">
            <w:pPr>
              <w:pStyle w:val="TableParagraph"/>
              <w:numPr>
                <w:ilvl w:val="0"/>
                <w:numId w:val="14"/>
              </w:numPr>
              <w:tabs>
                <w:tab w:val="left" w:pos="769"/>
              </w:tabs>
              <w:spacing w:before="136" w:line="258" w:lineRule="exact"/>
              <w:ind w:hanging="359"/>
            </w:pPr>
            <w:r>
              <w:rPr>
                <w:lang w:val="de-DE"/>
              </w:rPr>
              <w:t>Identifikationsdaten (Vor- und Nachname);</w:t>
            </w:r>
          </w:p>
        </w:tc>
      </w:tr>
      <w:tr w:rsidR="009A00BE" w:rsidRPr="007227B1" w14:paraId="316AB318" w14:textId="77777777">
        <w:trPr>
          <w:trHeight w:val="280"/>
        </w:trPr>
        <w:tc>
          <w:tcPr>
            <w:tcW w:w="9238" w:type="dxa"/>
          </w:tcPr>
          <w:p w14:paraId="316AB317" w14:textId="77777777" w:rsidR="009A00BE" w:rsidRPr="007227B1" w:rsidRDefault="00AF531F">
            <w:pPr>
              <w:pStyle w:val="TableParagraph"/>
              <w:numPr>
                <w:ilvl w:val="0"/>
                <w:numId w:val="13"/>
              </w:numPr>
              <w:tabs>
                <w:tab w:val="left" w:pos="769"/>
              </w:tabs>
              <w:spacing w:before="2" w:line="258" w:lineRule="exact"/>
              <w:ind w:hanging="359"/>
              <w:rPr>
                <w:lang w:val="de-DE"/>
              </w:rPr>
            </w:pPr>
            <w:r>
              <w:rPr>
                <w:lang w:val="de-DE"/>
              </w:rPr>
              <w:t>Kontaktdaten (E-Mail-Adresse, Telefonnummer, Handynummer, Adresse);</w:t>
            </w:r>
          </w:p>
        </w:tc>
      </w:tr>
      <w:tr w:rsidR="009A00BE" w:rsidRPr="007227B1" w14:paraId="316AB31A" w14:textId="77777777">
        <w:trPr>
          <w:trHeight w:val="280"/>
        </w:trPr>
        <w:tc>
          <w:tcPr>
            <w:tcW w:w="9238" w:type="dxa"/>
          </w:tcPr>
          <w:p w14:paraId="316AB319" w14:textId="77777777" w:rsidR="009A00BE" w:rsidRPr="007227B1" w:rsidRDefault="00AF531F">
            <w:pPr>
              <w:pStyle w:val="TableParagraph"/>
              <w:numPr>
                <w:ilvl w:val="0"/>
                <w:numId w:val="12"/>
              </w:numPr>
              <w:tabs>
                <w:tab w:val="left" w:pos="769"/>
              </w:tabs>
              <w:spacing w:before="2" w:line="258" w:lineRule="exact"/>
              <w:ind w:hanging="359"/>
              <w:rPr>
                <w:lang w:val="de-DE"/>
              </w:rPr>
            </w:pPr>
            <w:r>
              <w:rPr>
                <w:lang w:val="de-DE"/>
              </w:rPr>
              <w:t>Daten zu Ausbildung und beruflicher Erfahrung (Lebenslauf, Nachweise zu Ausbildung und Erfahrung);</w:t>
            </w:r>
          </w:p>
        </w:tc>
      </w:tr>
      <w:tr w:rsidR="009A00BE" w:rsidRPr="007227B1" w14:paraId="316AB31C" w14:textId="77777777">
        <w:trPr>
          <w:trHeight w:val="703"/>
        </w:trPr>
        <w:tc>
          <w:tcPr>
            <w:tcW w:w="9238" w:type="dxa"/>
          </w:tcPr>
          <w:p w14:paraId="316AB31B" w14:textId="77777777" w:rsidR="009A00BE" w:rsidRPr="007227B1" w:rsidRDefault="00AF531F">
            <w:pPr>
              <w:pStyle w:val="TableParagraph"/>
              <w:numPr>
                <w:ilvl w:val="0"/>
                <w:numId w:val="11"/>
              </w:numPr>
              <w:tabs>
                <w:tab w:val="left" w:pos="769"/>
              </w:tabs>
              <w:spacing w:before="4" w:line="237" w:lineRule="auto"/>
              <w:ind w:right="53"/>
              <w:rPr>
                <w:lang w:val="de-DE"/>
              </w:rPr>
            </w:pPr>
            <w:r>
              <w:rPr>
                <w:lang w:val="de-DE"/>
              </w:rPr>
              <w:t>Sonstige Daten, die der Bewerber in seiner Bewerbung, während des Bewerbungsgesprächs oder auf andere Weise freiwillig mit uns teilt (z. B. Geburtsdatum und -ort, steuerliche Identifikationsnummer usw.).</w:t>
            </w:r>
          </w:p>
        </w:tc>
      </w:tr>
      <w:tr w:rsidR="009A00BE" w:rsidRPr="002543D9" w14:paraId="316AB31F" w14:textId="77777777">
        <w:trPr>
          <w:trHeight w:val="1075"/>
        </w:trPr>
        <w:tc>
          <w:tcPr>
            <w:tcW w:w="9238" w:type="dxa"/>
          </w:tcPr>
          <w:p w14:paraId="316AB31E" w14:textId="29AA3CF6" w:rsidR="009A00BE" w:rsidRPr="007227B1" w:rsidRDefault="00AF531F" w:rsidP="007227B1">
            <w:pPr>
              <w:pStyle w:val="TableParagraph"/>
              <w:rPr>
                <w:lang w:val="de-DE"/>
              </w:rPr>
            </w:pPr>
            <w:r>
              <w:rPr>
                <w:lang w:val="de-DE"/>
              </w:rPr>
              <w:t xml:space="preserve">Wir erheben von Bewerbern im Allgemeinen keine personenbezogenen Daten, die einer besonderen Kategorie personenbezogener Daten zuzuordnen wären. Es kann jedoch vorkommen, dass ein Bewerber personenbezogene Daten einer besonderen Kategorie einreicht, beispielsweise ein Foto, </w:t>
            </w:r>
            <w:r>
              <w:rPr>
                <w:lang w:val="de-DE"/>
              </w:rPr>
              <w:lastRenderedPageBreak/>
              <w:t>Informationen zu einer Behinderung oder ähnliches.</w:t>
            </w:r>
          </w:p>
        </w:tc>
      </w:tr>
      <w:tr w:rsidR="009A00BE" w:rsidRPr="002543D9" w14:paraId="316AB321" w14:textId="77777777">
        <w:trPr>
          <w:trHeight w:val="648"/>
        </w:trPr>
        <w:tc>
          <w:tcPr>
            <w:tcW w:w="9238" w:type="dxa"/>
          </w:tcPr>
          <w:p w14:paraId="316AB320" w14:textId="77777777" w:rsidR="009A00BE" w:rsidRPr="007227B1" w:rsidRDefault="00AF531F">
            <w:pPr>
              <w:pStyle w:val="TableParagraph"/>
              <w:spacing w:before="88" w:line="270" w:lineRule="atLeast"/>
              <w:rPr>
                <w:lang w:val="de-DE"/>
              </w:rPr>
            </w:pPr>
            <w:r>
              <w:rPr>
                <w:lang w:val="de-DE"/>
              </w:rPr>
              <w:lastRenderedPageBreak/>
              <w:t>Die Verarbeitung von Identifikationsdaten, Kontaktdaten sowie Daten zu Ausbildung und beruflicher Erfahrung ist nötig, damit Gamepires mit dem Bewerber kommunizieren, ihn über den Status seiner Bewerbung informieren, ihn zu einem Bewerbungsgespräch einladen, seine Eignung für die zu besetzende Stelle bewerten und schließlich einen Arbeitsvertrag mit ihm abschließen kann.</w:t>
            </w:r>
          </w:p>
        </w:tc>
      </w:tr>
    </w:tbl>
    <w:p w14:paraId="316AB322" w14:textId="77777777" w:rsidR="009A00BE" w:rsidRPr="007227B1" w:rsidRDefault="009A00BE">
      <w:pPr>
        <w:spacing w:line="270" w:lineRule="atLeast"/>
        <w:rPr>
          <w:lang w:val="de-DE"/>
        </w:rPr>
        <w:sectPr w:rsidR="009A00BE" w:rsidRPr="007227B1" w:rsidSect="009213F5">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2543D9" w14:paraId="316AB325" w14:textId="77777777">
        <w:trPr>
          <w:trHeight w:val="916"/>
        </w:trPr>
        <w:tc>
          <w:tcPr>
            <w:tcW w:w="9240" w:type="dxa"/>
          </w:tcPr>
          <w:p w14:paraId="316AB324" w14:textId="77777777" w:rsidR="009A00BE" w:rsidRPr="007227B1" w:rsidRDefault="009A00BE" w:rsidP="007227B1">
            <w:pPr>
              <w:pStyle w:val="TableParagraph"/>
              <w:spacing w:before="0"/>
              <w:ind w:left="0"/>
              <w:rPr>
                <w:lang w:val="de-DE"/>
              </w:rPr>
            </w:pPr>
          </w:p>
        </w:tc>
      </w:tr>
      <w:tr w:rsidR="009A00BE" w:rsidRPr="002543D9" w14:paraId="316AB327" w14:textId="77777777">
        <w:trPr>
          <w:trHeight w:val="1610"/>
        </w:trPr>
        <w:tc>
          <w:tcPr>
            <w:tcW w:w="9240" w:type="dxa"/>
          </w:tcPr>
          <w:p w14:paraId="316AB326" w14:textId="77777777" w:rsidR="009A00BE" w:rsidRPr="007227B1" w:rsidRDefault="00AF531F">
            <w:pPr>
              <w:pStyle w:val="TableParagraph"/>
              <w:ind w:right="51"/>
              <w:jc w:val="both"/>
              <w:rPr>
                <w:lang w:val="de-DE"/>
              </w:rPr>
            </w:pPr>
            <w:r>
              <w:rPr>
                <w:lang w:val="de-DE"/>
              </w:rPr>
              <w:t>In Ausnahmefällen werden personenbezogene Daten möglicherweise auf Basis gesetzlicher Vorschriften verarbeitet, um regulatorische Vorgaben zu erfüllen. Dabei können auch besondere Kategorien personenbezogener Daten verarbeitet werden, um beispielsweise sicherzugehen, dass nicht auf diskriminierende Weise bestimmte Personen im Bewerbungsprozess bevorzugt werden. Gamepires ist unter Umständen gesetzlich verpflichtet, personenbezogene Daten von Bewerbern an Regierungsstellen weiterzugeben.</w:t>
            </w:r>
          </w:p>
        </w:tc>
      </w:tr>
      <w:tr w:rsidR="009A00BE" w:rsidRPr="002543D9" w14:paraId="316AB329" w14:textId="77777777">
        <w:trPr>
          <w:trHeight w:val="1075"/>
        </w:trPr>
        <w:tc>
          <w:tcPr>
            <w:tcW w:w="9240" w:type="dxa"/>
          </w:tcPr>
          <w:p w14:paraId="316AB328" w14:textId="77777777" w:rsidR="009A00BE" w:rsidRPr="007227B1" w:rsidRDefault="00AF531F">
            <w:pPr>
              <w:pStyle w:val="TableParagraph"/>
              <w:ind w:right="48"/>
              <w:jc w:val="both"/>
              <w:rPr>
                <w:lang w:val="de-DE"/>
              </w:rPr>
            </w:pPr>
            <w:proofErr w:type="spellStart"/>
            <w:r>
              <w:rPr>
                <w:lang w:val="de-DE"/>
              </w:rPr>
              <w:t>Gamepires</w:t>
            </w:r>
            <w:proofErr w:type="spellEnd"/>
            <w:r>
              <w:rPr>
                <w:lang w:val="de-DE"/>
              </w:rPr>
              <w:t xml:space="preserve"> erhebt personenbezogene Daten meist direkt von dem Bewerber selbst. Gelegentlich erhebt Gamepires solche Daten aber vielleicht auch von Dritten (z. B. Personalvermittlungen, kroatisches Arbeitsamt oder ähnliches) oder aus öffentlich zugänglichen Quellen.</w:t>
            </w:r>
          </w:p>
        </w:tc>
      </w:tr>
      <w:tr w:rsidR="009A00BE" w:rsidRPr="007227B1" w14:paraId="316AB32B" w14:textId="77777777">
        <w:trPr>
          <w:trHeight w:val="537"/>
        </w:trPr>
        <w:tc>
          <w:tcPr>
            <w:tcW w:w="9240" w:type="dxa"/>
          </w:tcPr>
          <w:p w14:paraId="316AB32A" w14:textId="77777777" w:rsidR="009A00BE" w:rsidRPr="007227B1" w:rsidRDefault="00AF531F">
            <w:pPr>
              <w:pStyle w:val="TableParagraph"/>
              <w:ind w:left="410"/>
              <w:rPr>
                <w:lang w:val="de-DE"/>
              </w:rPr>
            </w:pPr>
            <w:r>
              <w:rPr>
                <w:lang w:val="de-DE"/>
              </w:rPr>
              <w:t xml:space="preserve">B) </w:t>
            </w:r>
            <w:r>
              <w:rPr>
                <w:u w:val="single"/>
                <w:lang w:val="de-DE"/>
              </w:rPr>
              <w:t>Daten zu Newsletter-Abonnenten</w:t>
            </w:r>
          </w:p>
        </w:tc>
      </w:tr>
      <w:tr w:rsidR="009A00BE" w:rsidRPr="002543D9" w14:paraId="316AB32D" w14:textId="77777777">
        <w:trPr>
          <w:trHeight w:val="1072"/>
        </w:trPr>
        <w:tc>
          <w:tcPr>
            <w:tcW w:w="9240" w:type="dxa"/>
          </w:tcPr>
          <w:p w14:paraId="316AB32C" w14:textId="77777777" w:rsidR="009A00BE" w:rsidRPr="007227B1" w:rsidRDefault="00AF531F">
            <w:pPr>
              <w:pStyle w:val="TableParagraph"/>
              <w:ind w:right="50"/>
              <w:jc w:val="both"/>
              <w:rPr>
                <w:lang w:val="de-DE"/>
              </w:rPr>
            </w:pPr>
            <w:r>
              <w:rPr>
                <w:lang w:val="de-DE"/>
              </w:rPr>
              <w:t xml:space="preserve">Die Besucher unserer Website </w:t>
            </w:r>
            <w:hyperlink r:id="rId6">
              <w:r>
                <w:rPr>
                  <w:color w:val="0462C1"/>
                  <w:u w:val="single"/>
                  <w:lang w:val="de-DE"/>
                </w:rPr>
                <w:t>www.scumgame.com</w:t>
              </w:r>
            </w:hyperlink>
            <w:r>
              <w:rPr>
                <w:color w:val="0462C1"/>
                <w:lang w:val="de-DE"/>
              </w:rPr>
              <w:t xml:space="preserve"> </w:t>
            </w:r>
            <w:r>
              <w:rPr>
                <w:lang w:val="de-DE"/>
              </w:rPr>
              <w:t>können einen Newsletter abonnieren, indem sie ihre E-Mail-Adresse in das entsprechende Formular auf der Website eingeben. Der Newsletter wird per E-Mail verschickt, basierend auf Ihrer durch das Ausfüllen und Absenden des Formulars auf unserer Website erfolgten Einwilligung.</w:t>
            </w:r>
          </w:p>
        </w:tc>
      </w:tr>
      <w:tr w:rsidR="009A00BE" w:rsidRPr="007227B1" w14:paraId="316AB32F" w14:textId="77777777">
        <w:trPr>
          <w:trHeight w:val="1344"/>
        </w:trPr>
        <w:tc>
          <w:tcPr>
            <w:tcW w:w="9240" w:type="dxa"/>
          </w:tcPr>
          <w:p w14:paraId="316AB32E" w14:textId="77777777" w:rsidR="009A00BE" w:rsidRPr="007227B1" w:rsidRDefault="00AF531F">
            <w:pPr>
              <w:pStyle w:val="TableParagraph"/>
              <w:ind w:right="53"/>
              <w:jc w:val="both"/>
              <w:rPr>
                <w:lang w:val="de-DE"/>
              </w:rPr>
            </w:pPr>
            <w:r>
              <w:rPr>
                <w:lang w:val="de-DE"/>
              </w:rPr>
              <w:t xml:space="preserve">Sie haben das Recht, Ihre Einwilligung jederzeit ohne Gebühr zu widerrufen, sich also vom Erhalt unserer Newsletter abzumelden, indem Sie auf den am unteren Ende einer jeden Newsletter-E-Mail </w:t>
            </w:r>
            <w:proofErr w:type="gramStart"/>
            <w:r>
              <w:rPr>
                <w:lang w:val="de-DE"/>
              </w:rPr>
              <w:t>zu findenden Link</w:t>
            </w:r>
            <w:proofErr w:type="gramEnd"/>
            <w:r>
              <w:rPr>
                <w:lang w:val="de-DE"/>
              </w:rPr>
              <w:t xml:space="preserve"> „Abbestellen“ (oder ähnlich) klicken. Sie erhalten daraufhin keine Newsletter mehr von uns, und Ihre E-Mail-Adresse wird aus unserer Datenbank entfernt.</w:t>
            </w:r>
          </w:p>
        </w:tc>
      </w:tr>
      <w:tr w:rsidR="009A00BE" w:rsidRPr="002543D9" w14:paraId="316AB331" w14:textId="77777777">
        <w:trPr>
          <w:trHeight w:val="672"/>
        </w:trPr>
        <w:tc>
          <w:tcPr>
            <w:tcW w:w="9240" w:type="dxa"/>
          </w:tcPr>
          <w:p w14:paraId="316AB330" w14:textId="77777777" w:rsidR="009A00BE" w:rsidRPr="007227B1" w:rsidRDefault="00AF531F">
            <w:pPr>
              <w:pStyle w:val="TableParagraph"/>
              <w:rPr>
                <w:lang w:val="de-DE"/>
              </w:rPr>
            </w:pPr>
            <w:r>
              <w:rPr>
                <w:lang w:val="de-DE"/>
              </w:rPr>
              <w:t>Zweck dieser Verarbeitung ist es, interessierte Personen mit Neuigkeiten rund um das Spiel zu versorgen. An personenbezogenen Daten verarbeiten wir dabei nur Ihre E-Mail-Adresse, die wir speichern, bis Sie Ihre Einwilligung widerrufen.</w:t>
            </w:r>
          </w:p>
        </w:tc>
      </w:tr>
      <w:tr w:rsidR="009A00BE" w:rsidRPr="007227B1" w14:paraId="316AB334" w14:textId="77777777">
        <w:trPr>
          <w:trHeight w:val="669"/>
        </w:trPr>
        <w:tc>
          <w:tcPr>
            <w:tcW w:w="9240" w:type="dxa"/>
          </w:tcPr>
          <w:p w14:paraId="316AB333" w14:textId="02F160E5" w:rsidR="009A00BE" w:rsidRPr="007227B1" w:rsidRDefault="00AF531F" w:rsidP="007227B1">
            <w:pPr>
              <w:pStyle w:val="TableParagraph"/>
              <w:spacing w:before="0" w:line="248" w:lineRule="exact"/>
              <w:rPr>
                <w:lang w:val="de-DE"/>
              </w:rPr>
            </w:pPr>
            <w:r>
              <w:rPr>
                <w:lang w:val="de-DE"/>
              </w:rPr>
              <w:t>Ihre E-Mail-Adresse wird an unsere Geschäftspartner weitergegeben, die in unserem Auftrag Newsletter verschicken.</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pPr>
            <w:r>
              <w:rPr>
                <w:lang w:val="de-DE"/>
              </w:rPr>
              <w:t xml:space="preserve">C) </w:t>
            </w:r>
            <w:r>
              <w:rPr>
                <w:u w:val="single"/>
                <w:lang w:val="de-DE"/>
              </w:rPr>
              <w:t>Daten zu Spielern</w:t>
            </w:r>
          </w:p>
        </w:tc>
      </w:tr>
      <w:tr w:rsidR="009A00BE" w:rsidRPr="002543D9" w14:paraId="316AB338" w14:textId="77777777">
        <w:trPr>
          <w:trHeight w:val="1611"/>
        </w:trPr>
        <w:tc>
          <w:tcPr>
            <w:tcW w:w="9240" w:type="dxa"/>
          </w:tcPr>
          <w:p w14:paraId="0707F634" w14:textId="3365F961" w:rsidR="001B635F" w:rsidRPr="007227B1" w:rsidRDefault="00633896" w:rsidP="00633896">
            <w:pPr>
              <w:pStyle w:val="TableParagraph"/>
              <w:rPr>
                <w:u w:val="single"/>
                <w:lang w:val="de-DE"/>
              </w:rPr>
            </w:pPr>
            <w:r>
              <w:rPr>
                <w:u w:val="single"/>
                <w:lang w:val="de-DE"/>
              </w:rPr>
              <w:t>Spielintegrität</w:t>
            </w:r>
          </w:p>
          <w:p w14:paraId="316AB337" w14:textId="028D6FD5" w:rsidR="009A00BE" w:rsidRPr="007227B1" w:rsidRDefault="00AF531F">
            <w:pPr>
              <w:pStyle w:val="TableParagraph"/>
              <w:ind w:right="52"/>
              <w:jc w:val="both"/>
              <w:rPr>
                <w:lang w:val="de-DE"/>
              </w:rPr>
            </w:pPr>
            <w:r>
              <w:rPr>
                <w:lang w:val="de-DE"/>
              </w:rPr>
              <w:t>Im Falle verbotener oder unangemessener Aktivitäten eines Spielers, der unser Videospiel über eine Internetplattform oder einen Service spielt, kann die jeweilige Plattform bzw. der jeweilige Service Daten zu diesem Spieler übermitteln, um weitere Verstöße gegen die Regeln des Spiels zu verhindern und andere Spieler zu schützen. Eine solche Verarbeitung kann beispielsweise stattfinden, wenn bestimmte Spieler andere Spieler unangemessen behandeln, bei der Kommunikation mit anderen Spielern aggressive oder anstößige Äußerungen tätigen, Cheats einsetzen oder ähnliches.</w:t>
            </w:r>
          </w:p>
        </w:tc>
      </w:tr>
      <w:tr w:rsidR="009A00BE" w:rsidRPr="002543D9" w14:paraId="316AB33A" w14:textId="77777777">
        <w:trPr>
          <w:trHeight w:val="2149"/>
        </w:trPr>
        <w:tc>
          <w:tcPr>
            <w:tcW w:w="9240" w:type="dxa"/>
          </w:tcPr>
          <w:p w14:paraId="316AB339" w14:textId="77777777" w:rsidR="009A00BE" w:rsidRPr="007227B1" w:rsidRDefault="00AF531F">
            <w:pPr>
              <w:pStyle w:val="TableParagraph"/>
              <w:spacing w:before="113"/>
              <w:ind w:right="48"/>
              <w:jc w:val="both"/>
              <w:rPr>
                <w:lang w:val="de-DE"/>
              </w:rPr>
            </w:pPr>
            <w:r>
              <w:rPr>
                <w:lang w:val="de-DE"/>
              </w:rPr>
              <w:lastRenderedPageBreak/>
              <w:t>Wir erhalten in einem solchen Fall von der datenerhebenden Plattform bzw. dem datenerhebenden Service die folgenden Daten zu dem Spieler, der gegen die Regeln verstößt: Nickname, ID-Code, Beschreibung des Regelverstoßes und Hardware-Hash. Der Nickname und der ID-Code sind nötig, um den Zugang eines bestimmten Spielers zu sperren. Die Beschreibung des Regelverstoßes ist nötig, um zu beurteilen, ob der Verstoß so schwer war, dass eine Zugangssperre gerechtfertigt ist. Ein Hardware-Hash ist nötig, um zu verhindern, dass der Spieler trotz der Sperre über ein anderes Benutzerkonto auf das Spiel zugreift.</w:t>
            </w:r>
          </w:p>
        </w:tc>
      </w:tr>
      <w:tr w:rsidR="009A00BE" w:rsidRPr="002543D9" w14:paraId="316AB33D" w14:textId="77777777">
        <w:trPr>
          <w:trHeight w:val="1183"/>
        </w:trPr>
        <w:tc>
          <w:tcPr>
            <w:tcW w:w="9240" w:type="dxa"/>
          </w:tcPr>
          <w:p w14:paraId="67B7B694" w14:textId="02C52478" w:rsidR="009A00BE" w:rsidRPr="007227B1" w:rsidRDefault="00AF531F" w:rsidP="007227B1">
            <w:pPr>
              <w:pStyle w:val="TableParagraph"/>
              <w:ind w:right="53"/>
              <w:jc w:val="both"/>
              <w:rPr>
                <w:lang w:val="de-DE"/>
              </w:rPr>
            </w:pPr>
            <w:r>
              <w:rPr>
                <w:lang w:val="de-DE"/>
              </w:rPr>
              <w:t>Wir verarbeiten diese Daten auf Basis der Nutzungsvereinbarung, die beim Download des Spiels zwischen dem Spieler und Gamepires geschlossen wird („Endnutzerlizenzvereinbarung“), um unsere Dienste zu verbessern und andere Spieler zu schützen. Wir speichern die Daten, so lange dies nötig ist, um diesen Zweck zu erfüllen, höchstens jedoch für einen Zeitraum von fünf Jahren, nachdem wir von dem Verstoß Kenntnis erlangt haben.</w:t>
            </w:r>
          </w:p>
          <w:p w14:paraId="080A1460" w14:textId="77777777" w:rsidR="00633896" w:rsidRPr="007227B1" w:rsidRDefault="00633896">
            <w:pPr>
              <w:pStyle w:val="TableParagraph"/>
              <w:spacing w:before="0" w:line="243" w:lineRule="exact"/>
              <w:jc w:val="both"/>
              <w:rPr>
                <w:spacing w:val="-2"/>
                <w:lang w:val="de-DE"/>
              </w:rPr>
            </w:pPr>
          </w:p>
          <w:p w14:paraId="275E6F4C" w14:textId="6766E7F2" w:rsidR="00633896" w:rsidRPr="007227B1" w:rsidRDefault="00603C4A">
            <w:pPr>
              <w:pStyle w:val="TableParagraph"/>
              <w:spacing w:before="0" w:line="243" w:lineRule="exact"/>
              <w:jc w:val="both"/>
              <w:rPr>
                <w:spacing w:val="-2"/>
                <w:u w:val="single"/>
                <w:lang w:val="de-DE"/>
              </w:rPr>
            </w:pPr>
            <w:r>
              <w:rPr>
                <w:u w:val="single"/>
                <w:lang w:val="de-DE"/>
              </w:rPr>
              <w:t>Datenanalyse</w:t>
            </w:r>
          </w:p>
          <w:p w14:paraId="74DF032C" w14:textId="77777777" w:rsidR="00C35769" w:rsidRPr="007227B1" w:rsidRDefault="00C35769">
            <w:pPr>
              <w:pStyle w:val="TableParagraph"/>
              <w:spacing w:before="0" w:line="243" w:lineRule="exact"/>
              <w:jc w:val="both"/>
              <w:rPr>
                <w:spacing w:val="-2"/>
                <w:u w:val="single"/>
                <w:lang w:val="de-DE"/>
              </w:rPr>
            </w:pPr>
          </w:p>
          <w:p w14:paraId="311E0EDE" w14:textId="74420E0B" w:rsidR="00F4184D" w:rsidRPr="007227B1" w:rsidRDefault="00C35769" w:rsidP="00F4184D">
            <w:pPr>
              <w:pStyle w:val="TableParagraph"/>
              <w:spacing w:before="0" w:line="243" w:lineRule="exact"/>
              <w:jc w:val="both"/>
              <w:rPr>
                <w:spacing w:val="-2"/>
                <w:lang w:val="de-DE"/>
              </w:rPr>
            </w:pPr>
            <w:r>
              <w:rPr>
                <w:lang w:val="de-DE"/>
              </w:rPr>
              <w:t>Wir sammeln die nachfolgend angegebenen Kategorien personenbezogener Daten für Datenanalysen mit dem Ziel, unsere Website, unsere Produkte und Dienste, unser Marketing, die Beziehung zu unseren Kunden und deren Unterhaltungserlebnis zu verbessern:</w:t>
            </w:r>
          </w:p>
          <w:p w14:paraId="1B7FB3CB" w14:textId="77777777" w:rsidR="00F4184D" w:rsidRPr="007227B1" w:rsidRDefault="00F4184D" w:rsidP="00F4184D">
            <w:pPr>
              <w:pStyle w:val="TableParagraph"/>
              <w:spacing w:before="0" w:line="243" w:lineRule="exact"/>
              <w:jc w:val="both"/>
              <w:rPr>
                <w:spacing w:val="-2"/>
                <w:lang w:val="de-DE"/>
              </w:rPr>
            </w:pPr>
          </w:p>
          <w:p w14:paraId="4C904132" w14:textId="5883362A" w:rsidR="00F4184D" w:rsidRPr="007227B1" w:rsidRDefault="00F4184D" w:rsidP="007B719C">
            <w:pPr>
              <w:pStyle w:val="TableParagraph"/>
              <w:numPr>
                <w:ilvl w:val="0"/>
                <w:numId w:val="15"/>
              </w:numPr>
              <w:spacing w:before="0" w:line="276" w:lineRule="auto"/>
              <w:jc w:val="both"/>
              <w:rPr>
                <w:spacing w:val="-2"/>
                <w:lang w:val="de-DE"/>
              </w:rPr>
            </w:pPr>
            <w:r>
              <w:rPr>
                <w:b/>
                <w:bCs/>
                <w:lang w:val="de-DE"/>
              </w:rPr>
              <w:t xml:space="preserve">Technische Daten </w:t>
            </w:r>
            <w:r>
              <w:rPr>
                <w:lang w:val="de-DE"/>
              </w:rPr>
              <w:t>(auch „Onlinekennung“ genannt) umfassen die Internetprotokolladresse (IP-Adresse), Mobilgerätekennnummern (beispielsweise die Media-Access-Control-Adresse (MAC-Adresse), den Identifier For Advertising (IDFA) und/oder die International Mobile Equipment Identity (IMEI)), den Gerätetyp, Ihre Anmeldedaten, Typ und Version Ihres Browsers, Zeitzoneneinstellung und geografischen Standort, Typ und Version von Browser-Plugins, Betriebssystem und Plattform sowie sonstige Technologie auf den Geräten, über die Sie auf die Website sowie auf unsere Produkte und Dienste zugreifen;</w:t>
            </w:r>
          </w:p>
          <w:p w14:paraId="291394AC" w14:textId="134C923F" w:rsidR="00603C4A" w:rsidRPr="007227B1" w:rsidRDefault="00603C4A" w:rsidP="007B719C">
            <w:pPr>
              <w:pStyle w:val="TableParagraph"/>
              <w:numPr>
                <w:ilvl w:val="0"/>
                <w:numId w:val="15"/>
              </w:numPr>
              <w:spacing w:before="0" w:line="276" w:lineRule="auto"/>
              <w:jc w:val="both"/>
              <w:rPr>
                <w:spacing w:val="-2"/>
                <w:lang w:val="de-DE"/>
              </w:rPr>
            </w:pPr>
            <w:r>
              <w:rPr>
                <w:b/>
                <w:bCs/>
                <w:lang w:val="de-DE"/>
              </w:rPr>
              <w:t xml:space="preserve">Nutzungsdaten </w:t>
            </w:r>
            <w:r>
              <w:rPr>
                <w:lang w:val="de-DE"/>
              </w:rPr>
              <w:t>umfassen Informationen darüber, wie Sie unsere Spiele nutzen und damit interagieren;</w:t>
            </w:r>
          </w:p>
          <w:p w14:paraId="6FE7ED71" w14:textId="654465E2" w:rsidR="00603C4A" w:rsidRPr="007227B1" w:rsidRDefault="008B65DA" w:rsidP="007B719C">
            <w:pPr>
              <w:pStyle w:val="TableParagraph"/>
              <w:numPr>
                <w:ilvl w:val="0"/>
                <w:numId w:val="15"/>
              </w:numPr>
              <w:spacing w:before="0" w:line="276" w:lineRule="auto"/>
              <w:jc w:val="both"/>
              <w:rPr>
                <w:spacing w:val="-2"/>
                <w:lang w:val="de-DE"/>
              </w:rPr>
            </w:pPr>
            <w:r>
              <w:rPr>
                <w:b/>
                <w:bCs/>
                <w:lang w:val="de-DE"/>
              </w:rPr>
              <w:t xml:space="preserve">Werbe- und Kommunikationsdaten </w:t>
            </w:r>
            <w:r>
              <w:rPr>
                <w:lang w:val="de-DE"/>
              </w:rPr>
              <w:t xml:space="preserve">umfassen Ihre Präferenzen hinsichtlich des Erhalts von Werbung durch uns und unsere Drittpartner sowie Ihre Präferenzen hinsichtlich des bevorzugten Kommunikationsmittels; </w:t>
            </w:r>
          </w:p>
          <w:p w14:paraId="4849C3B2" w14:textId="038FEE57" w:rsidR="007B719C" w:rsidRPr="007227B1" w:rsidRDefault="007B719C" w:rsidP="007B719C">
            <w:pPr>
              <w:pStyle w:val="TableParagraph"/>
              <w:numPr>
                <w:ilvl w:val="0"/>
                <w:numId w:val="15"/>
              </w:numPr>
              <w:spacing w:before="0" w:line="276" w:lineRule="auto"/>
              <w:jc w:val="both"/>
              <w:rPr>
                <w:spacing w:val="-2"/>
                <w:lang w:val="de-DE"/>
              </w:rPr>
            </w:pPr>
            <w:r>
              <w:rPr>
                <w:b/>
                <w:bCs/>
                <w:lang w:val="de-DE"/>
              </w:rPr>
              <w:t xml:space="preserve">Profildaten </w:t>
            </w:r>
            <w:r>
              <w:rPr>
                <w:lang w:val="de-DE"/>
              </w:rPr>
              <w:t xml:space="preserve">umfassen Ihren Benutzernamen und Ihr Passwort, Ihre Interessen, Ihre Präferenzen, Ihre Nachrichten, Ihr Feedback und Ihre Antworten in Umfragen. </w:t>
            </w:r>
          </w:p>
          <w:p w14:paraId="5EC989EA" w14:textId="77777777" w:rsidR="00773654" w:rsidRPr="007227B1" w:rsidRDefault="00773654" w:rsidP="007B719C">
            <w:pPr>
              <w:pStyle w:val="TableParagraph"/>
              <w:spacing w:before="0" w:line="276" w:lineRule="auto"/>
              <w:jc w:val="both"/>
              <w:rPr>
                <w:spacing w:val="-2"/>
                <w:lang w:val="de-DE"/>
              </w:rPr>
            </w:pPr>
          </w:p>
          <w:p w14:paraId="2E04BEDD" w14:textId="569CF756" w:rsidR="007B719C" w:rsidRPr="007227B1" w:rsidRDefault="00817921" w:rsidP="007B719C">
            <w:pPr>
              <w:pStyle w:val="TableParagraph"/>
              <w:spacing w:before="0" w:line="276" w:lineRule="auto"/>
              <w:jc w:val="both"/>
              <w:rPr>
                <w:spacing w:val="-2"/>
                <w:lang w:val="de-DE"/>
              </w:rPr>
            </w:pPr>
            <w:r>
              <w:rPr>
                <w:lang w:val="de-DE"/>
              </w:rPr>
              <w:t>Wir verarbeiten diese Kategorien personenbezogener Daten auf Basis von:</w:t>
            </w:r>
          </w:p>
          <w:p w14:paraId="5C316B82" w14:textId="760E631A" w:rsidR="00817921" w:rsidRPr="007227B1" w:rsidRDefault="00817921" w:rsidP="00817921">
            <w:pPr>
              <w:pStyle w:val="TableParagraph"/>
              <w:numPr>
                <w:ilvl w:val="0"/>
                <w:numId w:val="16"/>
              </w:numPr>
              <w:spacing w:before="0" w:line="276" w:lineRule="auto"/>
              <w:jc w:val="both"/>
              <w:rPr>
                <w:spacing w:val="-2"/>
                <w:lang w:val="de-DE"/>
              </w:rPr>
            </w:pPr>
            <w:r>
              <w:rPr>
                <w:b/>
                <w:bCs/>
                <w:lang w:val="de-DE"/>
              </w:rPr>
              <w:t xml:space="preserve">Ihrer ausdrücklichen Einwilligung </w:t>
            </w:r>
            <w:r>
              <w:rPr>
                <w:lang w:val="de-DE"/>
              </w:rPr>
              <w:t>bei Einsatz von Cookies, Beacons oder ähnlicher Software; oder</w:t>
            </w:r>
          </w:p>
          <w:p w14:paraId="446BCA26" w14:textId="293608CC" w:rsidR="00817921" w:rsidRPr="002543D9" w:rsidRDefault="00817921" w:rsidP="00817921">
            <w:pPr>
              <w:pStyle w:val="TableParagraph"/>
              <w:numPr>
                <w:ilvl w:val="0"/>
                <w:numId w:val="16"/>
              </w:numPr>
              <w:spacing w:before="0" w:line="276" w:lineRule="auto"/>
              <w:jc w:val="both"/>
              <w:rPr>
                <w:spacing w:val="-2"/>
                <w:lang w:val="de-DE"/>
              </w:rPr>
            </w:pPr>
            <w:r>
              <w:rPr>
                <w:b/>
                <w:bCs/>
                <w:lang w:val="de-DE"/>
              </w:rPr>
              <w:t xml:space="preserve">unseren berechtigten Interessen </w:t>
            </w:r>
            <w:r>
              <w:rPr>
                <w:lang w:val="de-DE"/>
              </w:rPr>
              <w:t>in anderen Fällen, wobei diese Interessen beispielsweise die Definition von Kundentypen für unsere Produkte und Dienste, die Aktualisierung unserer Website, unserer Produkte und Dienste sowie die Entwicklung unseres Geschäfts und die Ausgestaltung unserer Marketingstrategie umfassen.</w:t>
            </w:r>
          </w:p>
          <w:p w14:paraId="140993F1" w14:textId="77777777" w:rsidR="002543D9" w:rsidRPr="002543D9" w:rsidRDefault="002543D9" w:rsidP="002543D9">
            <w:pPr>
              <w:pStyle w:val="TableParagraph"/>
              <w:spacing w:before="0" w:line="276" w:lineRule="auto"/>
              <w:jc w:val="both"/>
              <w:rPr>
                <w:spacing w:val="-2"/>
                <w:lang w:val="de-DE"/>
              </w:rPr>
            </w:pPr>
          </w:p>
          <w:p w14:paraId="6A0D1B56" w14:textId="77777777" w:rsidR="002543D9" w:rsidRPr="002543D9" w:rsidRDefault="002543D9" w:rsidP="002543D9">
            <w:pPr>
              <w:pStyle w:val="TableParagraph"/>
              <w:spacing w:before="0" w:line="276" w:lineRule="auto"/>
              <w:jc w:val="both"/>
              <w:rPr>
                <w:spacing w:val="-2"/>
                <w:u w:val="single"/>
                <w:lang w:val="de-DE"/>
              </w:rPr>
            </w:pPr>
            <w:commentRangeStart w:id="0"/>
            <w:proofErr w:type="spellStart"/>
            <w:r>
              <w:rPr>
                <w:u w:val="single"/>
                <w:lang w:val="de"/>
              </w:rPr>
              <w:t>Social</w:t>
            </w:r>
            <w:proofErr w:type="spellEnd"/>
            <w:r>
              <w:rPr>
                <w:u w:val="single"/>
                <w:lang w:val="de"/>
              </w:rPr>
              <w:t>-Gaming-Plattformen</w:t>
            </w:r>
          </w:p>
          <w:p w14:paraId="13DEA7F5" w14:textId="77777777" w:rsidR="002543D9" w:rsidRPr="008B5EE0" w:rsidRDefault="002543D9" w:rsidP="002543D9">
            <w:pPr>
              <w:pStyle w:val="TableParagraph"/>
              <w:spacing w:before="0" w:line="276" w:lineRule="auto"/>
              <w:jc w:val="both"/>
              <w:rPr>
                <w:spacing w:val="-2"/>
              </w:rPr>
            </w:pPr>
            <w:r>
              <w:rPr>
                <w:lang w:val="de"/>
              </w:rPr>
              <w:t xml:space="preserve">Wenn du </w:t>
            </w:r>
            <w:proofErr w:type="spellStart"/>
            <w:r>
              <w:rPr>
                <w:lang w:val="de"/>
              </w:rPr>
              <w:t>Social</w:t>
            </w:r>
            <w:proofErr w:type="spellEnd"/>
            <w:r>
              <w:rPr>
                <w:lang w:val="de"/>
              </w:rPr>
              <w:t xml:space="preserve">-Gaming-Plattformen von Drittanbietern (wie Discord oder Twitch) nutzt und dein </w:t>
            </w:r>
            <w:proofErr w:type="spellStart"/>
            <w:r>
              <w:rPr>
                <w:lang w:val="de"/>
              </w:rPr>
              <w:t>Gamepires</w:t>
            </w:r>
            <w:proofErr w:type="spellEnd"/>
            <w:r>
              <w:rPr>
                <w:lang w:val="de"/>
              </w:rPr>
              <w:t xml:space="preserve">-Konto verlinkst, erhalten wir möglicherweise Informationen, die mit deinem Konto auf </w:t>
            </w:r>
            <w:r>
              <w:rPr>
                <w:lang w:val="de"/>
              </w:rPr>
              <w:lastRenderedPageBreak/>
              <w:t>diesen Plattformen verbunden sind. Dazu gehören dein Benutzername, dein Anzeigename, dein Profilbild, vergangene Streams und Details zu erhaltenen Belohnungen.  Bitte lies dir aufmerksam die Hinweise durch, die du bei der Verknüpfung deiner Konten erhältst, um zu verstehen, wie diese Drittanbieter deine Daten verarbeiten. Du kannst die Verknüpfung deiner Twitch-/Discord-Konten auch in den Kontoeinstellungen aufheben.</w:t>
            </w:r>
            <w:commentRangeEnd w:id="0"/>
            <w:r>
              <w:rPr>
                <w:lang w:val="de"/>
              </w:rPr>
              <w:commentReference w:id="0"/>
            </w:r>
          </w:p>
          <w:p w14:paraId="316AB33C" w14:textId="77777777" w:rsidR="00633896" w:rsidRPr="007227B1" w:rsidRDefault="00633896">
            <w:pPr>
              <w:pStyle w:val="TableParagraph"/>
              <w:spacing w:before="0" w:line="243" w:lineRule="exact"/>
              <w:jc w:val="both"/>
              <w:rPr>
                <w:lang w:val="de-DE"/>
              </w:rPr>
            </w:pPr>
          </w:p>
        </w:tc>
      </w:tr>
    </w:tbl>
    <w:p w14:paraId="316AB33E" w14:textId="77777777" w:rsidR="009A00BE" w:rsidRPr="007227B1" w:rsidRDefault="009A00BE">
      <w:pPr>
        <w:spacing w:line="243" w:lineRule="exact"/>
        <w:jc w:val="both"/>
        <w:rPr>
          <w:lang w:val="de-DE"/>
        </w:rPr>
        <w:sectPr w:rsidR="009A00BE" w:rsidRPr="007227B1" w:rsidSect="009213F5">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7227B1" w14:paraId="316AB340" w14:textId="77777777">
        <w:trPr>
          <w:trHeight w:val="244"/>
        </w:trPr>
        <w:tc>
          <w:tcPr>
            <w:tcW w:w="9239" w:type="dxa"/>
          </w:tcPr>
          <w:p w14:paraId="316AB33F" w14:textId="77777777" w:rsidR="009A00BE" w:rsidRPr="007227B1" w:rsidRDefault="00AF531F">
            <w:pPr>
              <w:pStyle w:val="TableParagraph"/>
              <w:spacing w:before="0" w:line="225" w:lineRule="exact"/>
              <w:ind w:left="410"/>
              <w:rPr>
                <w:lang w:val="de-DE"/>
              </w:rPr>
            </w:pPr>
            <w:r>
              <w:rPr>
                <w:lang w:val="de-DE"/>
              </w:rPr>
              <w:t xml:space="preserve">D) </w:t>
            </w:r>
            <w:r>
              <w:rPr>
                <w:u w:val="single"/>
                <w:lang w:val="de-DE"/>
              </w:rPr>
              <w:t>Daten zu Website-Besuchern</w:t>
            </w:r>
          </w:p>
        </w:tc>
      </w:tr>
      <w:tr w:rsidR="009A00BE" w:rsidRPr="007227B1" w14:paraId="316AB343" w14:textId="77777777">
        <w:trPr>
          <w:trHeight w:val="672"/>
        </w:trPr>
        <w:tc>
          <w:tcPr>
            <w:tcW w:w="9239" w:type="dxa"/>
          </w:tcPr>
          <w:p w14:paraId="316AB342" w14:textId="6014CF0E" w:rsidR="009A00BE" w:rsidRPr="007227B1" w:rsidRDefault="00AF531F" w:rsidP="007227B1">
            <w:pPr>
              <w:pStyle w:val="TableParagraph"/>
              <w:spacing w:before="0" w:line="249" w:lineRule="exact"/>
              <w:rPr>
                <w:lang w:val="de-DE"/>
              </w:rPr>
            </w:pPr>
            <w:r>
              <w:rPr>
                <w:lang w:val="de-DE"/>
              </w:rPr>
              <w:t>Der nachfolgende Abschnitt 3 („Cookies“) dieser Datenschutzrichtlinie enthält Informationen über die Verarbeitung personenbezogener Daten von Besuchern unserer Website.</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val="de-DE"/>
              </w:rPr>
              <w:t>3.  Cookies</w:t>
            </w:r>
          </w:p>
        </w:tc>
      </w:tr>
      <w:tr w:rsidR="009A00BE" w:rsidRPr="002543D9" w14:paraId="316AB347" w14:textId="77777777">
        <w:trPr>
          <w:trHeight w:val="1341"/>
        </w:trPr>
        <w:tc>
          <w:tcPr>
            <w:tcW w:w="9239" w:type="dxa"/>
          </w:tcPr>
          <w:p w14:paraId="316AB346" w14:textId="77777777" w:rsidR="009A00BE" w:rsidRPr="007227B1" w:rsidRDefault="00AF531F">
            <w:pPr>
              <w:pStyle w:val="TableParagraph"/>
              <w:ind w:right="50"/>
              <w:jc w:val="both"/>
              <w:rPr>
                <w:lang w:val="de-DE"/>
              </w:rPr>
            </w:pPr>
            <w:r>
              <w:rPr>
                <w:lang w:val="de-DE"/>
              </w:rPr>
              <w:t>Unsere Website speichert Cookies, die bestimmte Informationen über Ihre Nutzung der Website enthalten. Cookies sind kurze Textdateien mit einem einzigartigen Identifikations- und Referenzcode, die von Ihrem Webbrowser auf Ihrem Gerät gespeichert werden und über die wir Sie wiedererkennen, wenn Sie unsere Website das nächste Mal besuchen.</w:t>
            </w:r>
          </w:p>
        </w:tc>
      </w:tr>
      <w:tr w:rsidR="009A00BE" w:rsidRPr="007227B1" w14:paraId="316AB349" w14:textId="77777777">
        <w:trPr>
          <w:trHeight w:val="515"/>
        </w:trPr>
        <w:tc>
          <w:tcPr>
            <w:tcW w:w="9239" w:type="dxa"/>
          </w:tcPr>
          <w:p w14:paraId="316AB348" w14:textId="77777777" w:rsidR="009A00BE" w:rsidRPr="007227B1" w:rsidRDefault="00AF531F">
            <w:pPr>
              <w:pStyle w:val="TableParagraph"/>
              <w:rPr>
                <w:lang w:val="de-DE"/>
              </w:rPr>
            </w:pPr>
            <w:proofErr w:type="spellStart"/>
            <w:r>
              <w:rPr>
                <w:lang w:val="de-DE"/>
              </w:rPr>
              <w:t>Gamepires</w:t>
            </w:r>
            <w:proofErr w:type="spellEnd"/>
            <w:r>
              <w:rPr>
                <w:lang w:val="de-DE"/>
              </w:rPr>
              <w:t xml:space="preserve"> setzt die folgenden Cookies ein:</w:t>
            </w:r>
          </w:p>
        </w:tc>
      </w:tr>
      <w:tr w:rsidR="009A00BE" w:rsidRPr="002543D9" w14:paraId="316AB34B" w14:textId="77777777">
        <w:trPr>
          <w:trHeight w:val="1891"/>
        </w:trPr>
        <w:tc>
          <w:tcPr>
            <w:tcW w:w="9239" w:type="dxa"/>
          </w:tcPr>
          <w:p w14:paraId="316AB34A" w14:textId="77777777" w:rsidR="009A00BE" w:rsidRPr="007227B1" w:rsidRDefault="00AF531F">
            <w:pPr>
              <w:pStyle w:val="TableParagraph"/>
              <w:numPr>
                <w:ilvl w:val="0"/>
                <w:numId w:val="10"/>
              </w:numPr>
              <w:tabs>
                <w:tab w:val="left" w:pos="769"/>
              </w:tabs>
              <w:spacing w:before="137"/>
              <w:ind w:right="49"/>
              <w:jc w:val="both"/>
              <w:rPr>
                <w:lang w:val="de-DE"/>
              </w:rPr>
            </w:pPr>
            <w:r>
              <w:rPr>
                <w:lang w:val="de-DE"/>
              </w:rPr>
              <w:t>Notwendige Cookies – sind für den Betrieb der Website nötig und können in unseren Systemen nicht deaktiviert werden. Solche Cookies werden standardmäßig als Reaktion auf Ihre Aktionen gesetzt, beispielsweise wenn Sie Cookie-Einstellungen festlegen, sich registrieren oder ein Formular ausfüllen. Sie können Ihren Webbrowser so einstellen, dass er diese Cookies blockiert oder eine Warnung anzeigt, wenn sie gesetzt werden; bestimmte Teile der Website funktionieren dann allerdings möglicherweise nicht wie vorgesehen. Diese Cookies enthalten keinerlei Informationen, über die Sie identifiziert werden könnten, und ihr Einsatz erfordert keine Einwilligung Ihrerseits.</w:t>
            </w:r>
          </w:p>
        </w:tc>
      </w:tr>
      <w:tr w:rsidR="009A00BE" w:rsidRPr="002543D9" w14:paraId="316AB34D" w14:textId="77777777">
        <w:trPr>
          <w:trHeight w:val="1623"/>
        </w:trPr>
        <w:tc>
          <w:tcPr>
            <w:tcW w:w="9239" w:type="dxa"/>
          </w:tcPr>
          <w:p w14:paraId="316AB34C" w14:textId="77777777" w:rsidR="009A00BE" w:rsidRPr="007227B1" w:rsidRDefault="00AF531F">
            <w:pPr>
              <w:pStyle w:val="TableParagraph"/>
              <w:numPr>
                <w:ilvl w:val="0"/>
                <w:numId w:val="9"/>
              </w:numPr>
              <w:tabs>
                <w:tab w:val="left" w:pos="769"/>
              </w:tabs>
              <w:spacing w:before="137"/>
              <w:ind w:right="48"/>
              <w:jc w:val="both"/>
              <w:rPr>
                <w:lang w:val="de-DE"/>
              </w:rPr>
            </w:pPr>
            <w:r>
              <w:rPr>
                <w:lang w:val="de-DE"/>
              </w:rPr>
              <w:t>Funktionale Cookies – ermöglichen die Bereitstellung erweiterter Funktionalitäten sowie die Personalisierung der Website basierend auf Ihren Präferenzen und Einstellungen. Diese Cookies können von uns oder von Dritten bereitgestellt werden, deren Dienste wir in unsere Webseiten integriert haben. Auf solchen Cookies basierende Daten verarbeiten wir nur mit Ihrer Einwilligung. Wenn Sie diese Cookies deaktivieren, funktionieren einige Features der Website möglicherweise nicht wie vorgesehen.</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val="de-DE"/>
              </w:rPr>
              <w:t>Statistische Cookies – erfassen Besuche und erkennen die Herkunft des Traffics, um die Effizienz der Website zu messen und zu verbessern. Wenn Sie diese Cookies deaktivieren, wissen wir nicht, wann Sie unsere Websites das letzte Mal besucht haben, und können deren Effizienz nicht messen. Diese Cookies speichern keine unmittelbaren personenbezogenen Daten, sondern basieren auf den einzigartigen IDs Ihres Browsers und Ihres Geräts. Wir verarbeiten diese Daten nur mit Ihrer Einwilligung.</w:t>
            </w:r>
          </w:p>
        </w:tc>
      </w:tr>
      <w:tr w:rsidR="009A00BE" w:rsidRPr="002543D9" w14:paraId="316AB351" w14:textId="77777777">
        <w:trPr>
          <w:trHeight w:val="1645"/>
        </w:trPr>
        <w:tc>
          <w:tcPr>
            <w:tcW w:w="9239" w:type="dxa"/>
          </w:tcPr>
          <w:p w14:paraId="316AB350" w14:textId="77777777" w:rsidR="009A00BE" w:rsidRPr="007227B1" w:rsidRDefault="00AF531F">
            <w:pPr>
              <w:pStyle w:val="TableParagraph"/>
              <w:numPr>
                <w:ilvl w:val="0"/>
                <w:numId w:val="7"/>
              </w:numPr>
              <w:tabs>
                <w:tab w:val="left" w:pos="769"/>
              </w:tabs>
              <w:spacing w:before="137"/>
              <w:ind w:right="49"/>
              <w:jc w:val="both"/>
              <w:rPr>
                <w:lang w:val="de-DE"/>
              </w:rPr>
            </w:pPr>
            <w:r>
              <w:rPr>
                <w:lang w:val="de-DE"/>
              </w:rPr>
              <w:t>Marketing-Cookies – verfolgen Besucher auf dem Weg durch die Webseiten und ermöglichen die Anzeige personalisierter Werbung. Diese Cookies dienen dazu, den Erfolg von Marketingmaßnahmen zu bewerten und Werbung anzuzeigen. Sie erheben Daten darüber, wie sich Besucher auf der Website verhalten und wie sie sich auf der Website bewegen. Diese Daten dienen dazu, personalisierte Werbung anzupassen. Die Daten dieser Cookies werden nur mit Ihrer Einwilligung verarbeitet. Wenn Sie diese Cookies nicht aktivieren, wird Ihnen nur allgemeine Werbung angezeigt, keine personalisierte Werbung.</w:t>
            </w:r>
          </w:p>
        </w:tc>
      </w:tr>
      <w:tr w:rsidR="009A00BE" w:rsidRPr="002543D9" w14:paraId="316AB353" w14:textId="77777777">
        <w:trPr>
          <w:trHeight w:val="806"/>
        </w:trPr>
        <w:tc>
          <w:tcPr>
            <w:tcW w:w="9239" w:type="dxa"/>
          </w:tcPr>
          <w:p w14:paraId="316AB352" w14:textId="77777777" w:rsidR="009A00BE" w:rsidRPr="007227B1" w:rsidRDefault="00AF531F">
            <w:pPr>
              <w:pStyle w:val="TableParagraph"/>
              <w:rPr>
                <w:lang w:val="de-DE"/>
              </w:rPr>
            </w:pPr>
            <w:r>
              <w:rPr>
                <w:lang w:val="de-DE"/>
              </w:rPr>
              <w:lastRenderedPageBreak/>
              <w:t>Einige von uns gesetzte Cookies haben nur für die Dauer Ihrer Nutzung unserer Website Bestand; andere dagegen länger, damit wir Sie wiedererkennen, wenn Sie unsere Website das nächste Mal besuchen.</w:t>
            </w:r>
          </w:p>
        </w:tc>
      </w:tr>
      <w:tr w:rsidR="009A00BE" w:rsidRPr="002543D9" w14:paraId="316AB355" w14:textId="77777777">
        <w:trPr>
          <w:trHeight w:val="1072"/>
        </w:trPr>
        <w:tc>
          <w:tcPr>
            <w:tcW w:w="9239" w:type="dxa"/>
          </w:tcPr>
          <w:p w14:paraId="316AB354" w14:textId="77777777" w:rsidR="009A00BE" w:rsidRPr="007227B1" w:rsidRDefault="00AF531F">
            <w:pPr>
              <w:pStyle w:val="TableParagraph"/>
              <w:ind w:right="49"/>
              <w:jc w:val="both"/>
              <w:rPr>
                <w:lang w:val="de-DE"/>
              </w:rPr>
            </w:pPr>
            <w:r>
              <w:rPr>
                <w:lang w:val="de-DE"/>
              </w:rPr>
              <w:t>Persistente Cookies – verbleiben auf Ihrem Computer, nachdem Sie Ihren Internetbrowser geschlossen haben. Die Website nutzt diese Cookies, um Daten wie z. B. Ihren Benutzernamen und Ihr Passwort, Spracheinstellungen oder Cookie-Einstellungen zu speichern, damit Sie diese nicht bei jedem Besuch neu eingeben müssen.</w:t>
            </w:r>
          </w:p>
        </w:tc>
      </w:tr>
      <w:tr w:rsidR="009A00BE" w:rsidRPr="002543D9" w14:paraId="316AB357" w14:textId="77777777">
        <w:trPr>
          <w:trHeight w:val="1075"/>
        </w:trPr>
        <w:tc>
          <w:tcPr>
            <w:tcW w:w="9239" w:type="dxa"/>
          </w:tcPr>
          <w:p w14:paraId="316AB356" w14:textId="77777777" w:rsidR="009A00BE" w:rsidRPr="007227B1" w:rsidRDefault="00AF531F">
            <w:pPr>
              <w:pStyle w:val="TableParagraph"/>
              <w:ind w:right="51"/>
              <w:jc w:val="both"/>
              <w:rPr>
                <w:lang w:val="de-DE"/>
              </w:rPr>
            </w:pPr>
            <w:r>
              <w:rPr>
                <w:lang w:val="de-DE"/>
              </w:rPr>
              <w:t>Session-Cookies – Session-Cookies werden von Ihrem Computer entfernt, sobald Sie Ihren Internetbrowser schließen. Die Website nutzt sie, um Daten wie z. B. die auf der aktuellen Website zuletzt geöffneten Seiten temporär zu speichern.</w:t>
            </w:r>
          </w:p>
        </w:tc>
      </w:tr>
      <w:tr w:rsidR="009A00BE" w:rsidRPr="002543D9" w14:paraId="316AB359" w14:textId="77777777">
        <w:trPr>
          <w:trHeight w:val="648"/>
        </w:trPr>
        <w:tc>
          <w:tcPr>
            <w:tcW w:w="9239" w:type="dxa"/>
          </w:tcPr>
          <w:p w14:paraId="316AB358" w14:textId="77777777" w:rsidR="009A00BE" w:rsidRPr="007227B1" w:rsidRDefault="00AF531F">
            <w:pPr>
              <w:pStyle w:val="TableParagraph"/>
              <w:spacing w:before="88" w:line="270" w:lineRule="atLeast"/>
              <w:rPr>
                <w:lang w:val="de-DE"/>
              </w:rPr>
            </w:pPr>
            <w:r>
              <w:rPr>
                <w:lang w:val="de-DE"/>
              </w:rPr>
              <w:t>Einige durch Cookies erhobene Daten teilen wir möglicherweise mit unseren Partnern, damit diese das Verhalten der Website-Besucher analysieren können.</w:t>
            </w:r>
          </w:p>
        </w:tc>
      </w:tr>
    </w:tbl>
    <w:p w14:paraId="316AB35A" w14:textId="77777777" w:rsidR="009A00BE" w:rsidRPr="007227B1" w:rsidRDefault="009A00BE">
      <w:pPr>
        <w:spacing w:line="270" w:lineRule="atLeast"/>
        <w:rPr>
          <w:lang w:val="de-DE"/>
        </w:rPr>
        <w:sectPr w:rsidR="009A00BE" w:rsidRPr="007227B1" w:rsidSect="009213F5">
          <w:type w:val="continuous"/>
          <w:pgSz w:w="11910" w:h="16840"/>
          <w:pgMar w:top="1420" w:right="1080" w:bottom="280" w:left="1360" w:header="720" w:footer="720" w:gutter="0"/>
          <w:cols w:space="720"/>
        </w:sectPr>
      </w:pPr>
    </w:p>
    <w:p w14:paraId="316AB35B" w14:textId="77777777" w:rsidR="009A00BE" w:rsidRPr="007227B1" w:rsidRDefault="009A00BE">
      <w:pPr>
        <w:spacing w:before="7"/>
        <w:rPr>
          <w:rFonts w:ascii="Times New Roman"/>
          <w:sz w:val="2"/>
          <w:lang w:val="de-DE"/>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7227B1" w14:paraId="316AB35D" w14:textId="77777777">
        <w:trPr>
          <w:trHeight w:val="244"/>
        </w:trPr>
        <w:tc>
          <w:tcPr>
            <w:tcW w:w="9239" w:type="dxa"/>
          </w:tcPr>
          <w:p w14:paraId="316AB35C" w14:textId="77777777" w:rsidR="009A00BE" w:rsidRPr="007227B1" w:rsidRDefault="00AF531F">
            <w:pPr>
              <w:pStyle w:val="TableParagraph"/>
              <w:spacing w:before="0" w:line="225" w:lineRule="exact"/>
              <w:rPr>
                <w:lang w:val="de-DE"/>
              </w:rPr>
            </w:pPr>
            <w:r>
              <w:rPr>
                <w:lang w:val="de-DE"/>
              </w:rPr>
              <w:t xml:space="preserve">Mehr zu Cookies erfahren Sie unter </w:t>
            </w:r>
            <w:hyperlink r:id="rId11">
              <w:r>
                <w:rPr>
                  <w:color w:val="0462C1"/>
                  <w:u w:val="single"/>
                  <w:lang w:val="de-DE"/>
                </w:rPr>
                <w:t>www.aboutcookies.org</w:t>
              </w:r>
            </w:hyperlink>
            <w:r>
              <w:rPr>
                <w:color w:val="0462C1"/>
                <w:lang w:val="de-DE"/>
              </w:rPr>
              <w:t xml:space="preserve"> </w:t>
            </w:r>
            <w:r>
              <w:rPr>
                <w:lang w:val="de-DE"/>
              </w:rPr>
              <w:t xml:space="preserve">oder </w:t>
            </w:r>
            <w:hyperlink r:id="rId12">
              <w:r>
                <w:rPr>
                  <w:color w:val="0462C1"/>
                  <w:u w:val="single"/>
                  <w:lang w:val="de-DE"/>
                </w:rPr>
                <w:t>www.allaboutcookies.org</w:t>
              </w:r>
              <w:r>
                <w:rPr>
                  <w:lang w:val="de-DE"/>
                </w:rPr>
                <w:t>.</w:t>
              </w:r>
            </w:hyperlink>
          </w:p>
        </w:tc>
      </w:tr>
      <w:tr w:rsidR="009A00BE" w:rsidRPr="002543D9" w14:paraId="316AB360" w14:textId="77777777">
        <w:trPr>
          <w:trHeight w:val="940"/>
        </w:trPr>
        <w:tc>
          <w:tcPr>
            <w:tcW w:w="9239" w:type="dxa"/>
          </w:tcPr>
          <w:p w14:paraId="21F5B3B2" w14:textId="77777777" w:rsidR="007227B1" w:rsidRDefault="00AF531F" w:rsidP="007227B1">
            <w:pPr>
              <w:pStyle w:val="TableParagraph"/>
              <w:spacing w:before="0" w:line="249" w:lineRule="exact"/>
              <w:rPr>
                <w:lang w:val="de-DE"/>
              </w:rPr>
            </w:pPr>
            <w:proofErr w:type="spellStart"/>
            <w:r>
              <w:rPr>
                <w:lang w:val="de-DE"/>
              </w:rPr>
              <w:t>Gamepires</w:t>
            </w:r>
            <w:proofErr w:type="spellEnd"/>
            <w:r>
              <w:rPr>
                <w:lang w:val="de-DE"/>
              </w:rPr>
              <w:t xml:space="preserve"> setzt mit Ihrer Einwilligung Google Analytics ein. Um das Tracking durch Google Analytics auf allen Websites zu deaktivieren, besuchen Sie </w:t>
            </w:r>
            <w:hyperlink r:id="rId13">
              <w:r>
                <w:rPr>
                  <w:color w:val="0462C1"/>
                  <w:u w:val="single"/>
                  <w:lang w:val="de-DE"/>
                </w:rPr>
                <w:t>http://tools.google.com/dlpage/gaoptout</w:t>
              </w:r>
            </w:hyperlink>
            <w:r>
              <w:rPr>
                <w:lang w:val="de-DE"/>
              </w:rPr>
              <w:t>.</w:t>
            </w:r>
          </w:p>
          <w:p w14:paraId="316AB35F" w14:textId="69FB65DD" w:rsidR="009A00BE" w:rsidRPr="007227B1" w:rsidRDefault="00AF531F" w:rsidP="007227B1">
            <w:pPr>
              <w:pStyle w:val="TableParagraph"/>
              <w:spacing w:before="0" w:line="249" w:lineRule="exact"/>
              <w:rPr>
                <w:lang w:val="de-DE"/>
              </w:rPr>
            </w:pPr>
            <w:r>
              <w:rPr>
                <w:lang w:val="de-DE"/>
              </w:rPr>
              <w:t>Sie können die Benutzeroptionen im Cookie-Browser anpassen.</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pPr>
            <w:r>
              <w:rPr>
                <w:b/>
                <w:bCs/>
                <w:lang w:val="de-DE"/>
              </w:rPr>
              <w:t>4.  Weitergabe personenbezogener Daten</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pPr>
            <w:r>
              <w:rPr>
                <w:lang w:val="de-DE"/>
              </w:rPr>
              <w:t>Ihre personenbezogenen Daten werden nicht an Dritte weitergegeben, damit diese ihre Dienste bewerben können. Wir verkaufen Ihre personenbezogenen Daten nicht an Dritte.</w:t>
            </w:r>
          </w:p>
        </w:tc>
      </w:tr>
      <w:tr w:rsidR="009A00BE" w:rsidRPr="007227B1" w14:paraId="316AB366" w14:textId="77777777">
        <w:trPr>
          <w:trHeight w:val="1613"/>
        </w:trPr>
        <w:tc>
          <w:tcPr>
            <w:tcW w:w="9239" w:type="dxa"/>
          </w:tcPr>
          <w:p w14:paraId="316AB365" w14:textId="77777777" w:rsidR="009A00BE" w:rsidRPr="007227B1" w:rsidRDefault="00AF531F">
            <w:pPr>
              <w:pStyle w:val="TableParagraph"/>
              <w:ind w:right="48"/>
              <w:jc w:val="both"/>
              <w:rPr>
                <w:lang w:val="de-DE"/>
              </w:rPr>
            </w:pPr>
            <w:r>
              <w:rPr>
                <w:lang w:val="de-DE"/>
              </w:rPr>
              <w:t>Wir geben Ihre personenbezogenen Daten an Dritte weiter, wenn dies erforderlich ist, um unseren rechtlichen Verpflichtungen nachzukommen (d. h. wir können Daten an zuständige nationale Behörden weitergeben); wenn Sie in die Weitergabe Ihrer personenbezogenen Daten an Dritte einwilligen (z. B. beim Einsatz von Cookies); sowie an die IT-Dienstleister, deren Systeme wir für unseren Geschäftsbetrieb nutzen und mit denen wir geeignete Datenverarbeitungsverträge eingegangen sind.</w:t>
            </w:r>
          </w:p>
        </w:tc>
      </w:tr>
      <w:tr w:rsidR="009A00BE" w:rsidRPr="002543D9" w14:paraId="316AB368" w14:textId="77777777">
        <w:trPr>
          <w:trHeight w:val="1072"/>
        </w:trPr>
        <w:tc>
          <w:tcPr>
            <w:tcW w:w="9239" w:type="dxa"/>
          </w:tcPr>
          <w:p w14:paraId="23792B11" w14:textId="77777777" w:rsidR="009A00BE" w:rsidRPr="007227B1" w:rsidRDefault="00AF531F">
            <w:pPr>
              <w:pStyle w:val="TableParagraph"/>
              <w:ind w:right="47"/>
              <w:jc w:val="both"/>
              <w:rPr>
                <w:lang w:val="de-DE"/>
              </w:rPr>
            </w:pPr>
            <w:r>
              <w:rPr>
                <w:lang w:val="de-DE"/>
              </w:rPr>
              <w:t>Sollte es in Zukunft zu einer Fusion oder Akquisition von Gamepires kommen, können wir Ihre personenbezogenen Daten an neue Anteilseigner weitergeben, und während des Verkaufsprozesses können im Rahmen der Due-Diligence-Prüfung auch bestimmte personenbezogene Daten an potenzielle Käufer und deren Berater weitergegeben werden.</w:t>
            </w:r>
          </w:p>
          <w:p w14:paraId="2EE81D08" w14:textId="77777777" w:rsidR="00EE3270" w:rsidRPr="007227B1" w:rsidRDefault="00EE3270" w:rsidP="00EE3270">
            <w:pPr>
              <w:pStyle w:val="TableParagraph"/>
              <w:ind w:left="410"/>
              <w:rPr>
                <w:b/>
                <w:lang w:val="de-DE"/>
              </w:rPr>
            </w:pPr>
            <w:r>
              <w:rPr>
                <w:b/>
                <w:bCs/>
                <w:lang w:val="de-DE"/>
              </w:rPr>
              <w:t xml:space="preserve">5.  </w:t>
            </w:r>
            <w:proofErr w:type="spellStart"/>
            <w:r>
              <w:rPr>
                <w:b/>
                <w:bCs/>
                <w:lang w:val="de-DE"/>
              </w:rPr>
              <w:t>Jagex</w:t>
            </w:r>
            <w:proofErr w:type="spellEnd"/>
            <w:r>
              <w:rPr>
                <w:b/>
                <w:bCs/>
                <w:lang w:val="de-DE"/>
              </w:rPr>
              <w:t xml:space="preserve"> Limited als Publisher</w:t>
            </w:r>
          </w:p>
          <w:p w14:paraId="316AB367" w14:textId="535B72D3" w:rsidR="003E008F" w:rsidRPr="007227B1" w:rsidRDefault="007E373D" w:rsidP="00DC0D12">
            <w:pPr>
              <w:pStyle w:val="TableParagraph"/>
              <w:ind w:left="0"/>
              <w:jc w:val="both"/>
              <w:rPr>
                <w:lang w:val="de-DE"/>
              </w:rPr>
            </w:pPr>
            <w:r>
              <w:rPr>
                <w:lang w:val="de-DE"/>
              </w:rPr>
              <w:t xml:space="preserve">Unsere Muttergesellschaft </w:t>
            </w:r>
            <w:proofErr w:type="spellStart"/>
            <w:r>
              <w:rPr>
                <w:lang w:val="de-DE"/>
              </w:rPr>
              <w:t>Jagex</w:t>
            </w:r>
            <w:proofErr w:type="spellEnd"/>
            <w:r>
              <w:rPr>
                <w:lang w:val="de-DE"/>
              </w:rPr>
              <w:t xml:space="preserve"> Limited („</w:t>
            </w:r>
            <w:proofErr w:type="spellStart"/>
            <w:r>
              <w:rPr>
                <w:lang w:val="de-DE"/>
              </w:rPr>
              <w:t>Jagex</w:t>
            </w:r>
            <w:proofErr w:type="spellEnd"/>
            <w:r>
              <w:rPr>
                <w:lang w:val="de-DE"/>
              </w:rPr>
              <w:t xml:space="preserve">“) übernimmt im Zusammenhang mit unseren Spielen (insbesondere SCUM) in ihrer Rolle als Spielepublisher eine Reihe von Datenverarbeitungsaufgaben. Was diese Aufgaben angeht, fungieren Gamepires und Jagex als zwei separate Datenverantwortliche. Bitte lesen Sie die Datenschutzrichtlinie von Jagex, die unter diesem Link abgerufen werden kann: </w:t>
            </w:r>
            <w:hyperlink r:id="rId14" w:history="1">
              <w:r>
                <w:rPr>
                  <w:rStyle w:val="Hipervnculo"/>
                  <w:lang w:val="de-DE"/>
                </w:rPr>
                <w:t>https://www.jagex.com/de-DE/terms/privacy</w:t>
              </w:r>
            </w:hyperlink>
            <w:r>
              <w:rPr>
                <w:lang w:val="de-DE"/>
              </w:rPr>
              <w:t>.</w:t>
            </w:r>
          </w:p>
        </w:tc>
      </w:tr>
      <w:tr w:rsidR="009A00BE" w:rsidRPr="007227B1" w14:paraId="316AB36A" w14:textId="77777777">
        <w:trPr>
          <w:trHeight w:val="537"/>
        </w:trPr>
        <w:tc>
          <w:tcPr>
            <w:tcW w:w="9239" w:type="dxa"/>
          </w:tcPr>
          <w:p w14:paraId="316AB369" w14:textId="0FD3CE29" w:rsidR="009A00BE" w:rsidRPr="007227B1" w:rsidRDefault="003E008F">
            <w:pPr>
              <w:pStyle w:val="TableParagraph"/>
              <w:ind w:left="410"/>
              <w:rPr>
                <w:b/>
                <w:lang w:val="de-DE"/>
              </w:rPr>
            </w:pPr>
            <w:r>
              <w:rPr>
                <w:b/>
                <w:bCs/>
                <w:lang w:val="de-DE"/>
              </w:rPr>
              <w:t>6.  Übertragung von Daten in Drittländer</w:t>
            </w:r>
          </w:p>
        </w:tc>
      </w:tr>
      <w:tr w:rsidR="009A00BE" w:rsidRPr="002543D9" w14:paraId="316AB36C" w14:textId="77777777">
        <w:trPr>
          <w:trHeight w:val="1611"/>
        </w:trPr>
        <w:tc>
          <w:tcPr>
            <w:tcW w:w="9239" w:type="dxa"/>
          </w:tcPr>
          <w:p w14:paraId="316AB36B" w14:textId="77777777" w:rsidR="009A00BE" w:rsidRPr="007227B1" w:rsidRDefault="00AF531F">
            <w:pPr>
              <w:pStyle w:val="TableParagraph"/>
              <w:ind w:right="49"/>
              <w:jc w:val="both"/>
              <w:rPr>
                <w:lang w:val="de-DE"/>
              </w:rPr>
            </w:pPr>
            <w:r>
              <w:rPr>
                <w:lang w:val="de-DE"/>
              </w:rPr>
              <w:t>Unter Umständen übertragen wir Ihre personenbezogenen Daten in Länder außerhalb des Europäischen Wirtschaftsraums (EWR). Dies erfolgt jedoch nur, wenn die Übertragungsmethode ein ausreichendes Maß an Sicherheit für Ihre Daten gewährleistet. Eine solche Übertragung kann beispielsweise erfolgen: auf Basis einer Entscheidung der Europäischen Kommission, dass die Gesetze des betreffenden Landes ein ausreichendes Maß an Datenschutz garantieren; gemäß den Bedingungen einer mit einer Drittpartei geschlossenen Datenübertragungsvereinbarung; oder wenn Sie explizit in die Übertragung der Daten eingewilligt haben (z. B. bei Cookies).</w:t>
            </w:r>
          </w:p>
        </w:tc>
      </w:tr>
      <w:tr w:rsidR="009A00BE" w:rsidRPr="002543D9" w14:paraId="316AB36E" w14:textId="77777777">
        <w:trPr>
          <w:trHeight w:val="1074"/>
        </w:trPr>
        <w:tc>
          <w:tcPr>
            <w:tcW w:w="9239" w:type="dxa"/>
          </w:tcPr>
          <w:p w14:paraId="316AB36D" w14:textId="77777777" w:rsidR="009A00BE" w:rsidRPr="007227B1" w:rsidRDefault="00AF531F">
            <w:pPr>
              <w:pStyle w:val="TableParagraph"/>
              <w:spacing w:before="113"/>
              <w:ind w:right="48"/>
              <w:jc w:val="both"/>
              <w:rPr>
                <w:lang w:val="de-DE"/>
              </w:rPr>
            </w:pPr>
            <w:r>
              <w:rPr>
                <w:lang w:val="de-DE"/>
              </w:rPr>
              <w:t>Sollten Ihre Daten in ein Land außerhalb des EWR übertragen werden, in dem kein ausreichendes Maß an Datenschutz gewährleistet ist, unternehmen wir alle angemessenen Anstrengungen, um sicherzustellen, dass Ihre Daten auf sichere Weise und im Einklang mit dieser Datenschutzrichtlinie verarbeitet werden.</w:t>
            </w:r>
          </w:p>
        </w:tc>
      </w:tr>
      <w:tr w:rsidR="009A00BE" w:rsidRPr="007227B1" w14:paraId="316AB370" w14:textId="77777777">
        <w:trPr>
          <w:trHeight w:val="537"/>
        </w:trPr>
        <w:tc>
          <w:tcPr>
            <w:tcW w:w="9239" w:type="dxa"/>
          </w:tcPr>
          <w:p w14:paraId="316AB36F" w14:textId="4B98BBEF" w:rsidR="009A00BE" w:rsidRPr="007227B1" w:rsidRDefault="003E008F">
            <w:pPr>
              <w:pStyle w:val="TableParagraph"/>
              <w:ind w:left="410"/>
              <w:rPr>
                <w:b/>
                <w:lang w:val="de-DE"/>
              </w:rPr>
            </w:pPr>
            <w:r>
              <w:rPr>
                <w:b/>
                <w:bCs/>
                <w:lang w:val="de-DE"/>
              </w:rPr>
              <w:t>7.  Wie lange Ihre personenbezogenen Daten gespeichert werden</w:t>
            </w:r>
          </w:p>
        </w:tc>
      </w:tr>
      <w:tr w:rsidR="009A00BE" w:rsidRPr="002543D9" w14:paraId="316AB372" w14:textId="77777777">
        <w:trPr>
          <w:trHeight w:val="1610"/>
        </w:trPr>
        <w:tc>
          <w:tcPr>
            <w:tcW w:w="9239" w:type="dxa"/>
          </w:tcPr>
          <w:p w14:paraId="316AB371" w14:textId="77777777" w:rsidR="009A00BE" w:rsidRPr="007227B1" w:rsidRDefault="00AF531F">
            <w:pPr>
              <w:pStyle w:val="TableParagraph"/>
              <w:ind w:right="47"/>
              <w:jc w:val="both"/>
              <w:rPr>
                <w:lang w:val="de-DE"/>
              </w:rPr>
            </w:pPr>
            <w:r>
              <w:rPr>
                <w:lang w:val="de-DE"/>
              </w:rPr>
              <w:t>Wir speichern Ihre Daten so lange, wie es für den Zweck erforderlich ist, für den sie erhoben wurden. Nach Ablauf des Speicherzeitraums löschen wir die Daten. Wenn eine Löschung technisch nicht möglich ist, machen wir die Daten unentzifferbar. Wenn wir bestimmte Daten nach Ablauf des Speicherzeitraums noch immer für legitime geschäftliche Zwecke benötigen, ergreifen wir geeignete Maßnahmen, um die Daten zu anonymisieren.</w:t>
            </w:r>
          </w:p>
        </w:tc>
      </w:tr>
      <w:tr w:rsidR="009A00BE" w:rsidRPr="007227B1" w14:paraId="316AB374" w14:textId="77777777">
        <w:trPr>
          <w:trHeight w:val="806"/>
        </w:trPr>
        <w:tc>
          <w:tcPr>
            <w:tcW w:w="9239" w:type="dxa"/>
          </w:tcPr>
          <w:p w14:paraId="316AB373" w14:textId="77777777" w:rsidR="009A00BE" w:rsidRPr="007227B1" w:rsidRDefault="00AF531F">
            <w:pPr>
              <w:pStyle w:val="TableParagraph"/>
              <w:rPr>
                <w:lang w:val="de-DE"/>
              </w:rPr>
            </w:pPr>
            <w:r>
              <w:rPr>
                <w:lang w:val="de-DE"/>
              </w:rPr>
              <w:lastRenderedPageBreak/>
              <w:t>Wir speichern Daten basierend auf unseren berechtigten Interessen im Einklang mit gerechtfertigten und angemessenen geschäftlichen Erfordernissen.</w:t>
            </w:r>
          </w:p>
        </w:tc>
      </w:tr>
      <w:tr w:rsidR="009A00BE" w:rsidRPr="007227B1" w14:paraId="316AB376" w14:textId="77777777">
        <w:trPr>
          <w:trHeight w:val="537"/>
        </w:trPr>
        <w:tc>
          <w:tcPr>
            <w:tcW w:w="9239" w:type="dxa"/>
          </w:tcPr>
          <w:p w14:paraId="316AB375" w14:textId="77777777" w:rsidR="009A00BE" w:rsidRPr="007227B1" w:rsidRDefault="00AF531F">
            <w:pPr>
              <w:pStyle w:val="TableParagraph"/>
              <w:rPr>
                <w:lang w:val="de-DE"/>
              </w:rPr>
            </w:pPr>
            <w:r>
              <w:rPr>
                <w:lang w:val="de-DE"/>
              </w:rPr>
              <w:t>Wir speichern die erhobenen Daten auf Basis Ihrer Einwilligung, bis diese Einwilligung widerrufen wird.</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val="de-DE"/>
              </w:rPr>
              <w:t>8.  Ihre Rechte</w:t>
            </w:r>
          </w:p>
        </w:tc>
      </w:tr>
      <w:tr w:rsidR="009A00BE" w:rsidRPr="007227B1" w14:paraId="316AB37A" w14:textId="77777777">
        <w:trPr>
          <w:trHeight w:val="950"/>
        </w:trPr>
        <w:tc>
          <w:tcPr>
            <w:tcW w:w="9239" w:type="dxa"/>
          </w:tcPr>
          <w:p w14:paraId="316AB379" w14:textId="77777777" w:rsidR="009A00BE" w:rsidRPr="007227B1" w:rsidRDefault="00AF531F">
            <w:pPr>
              <w:pStyle w:val="TableParagraph"/>
              <w:numPr>
                <w:ilvl w:val="0"/>
                <w:numId w:val="6"/>
              </w:numPr>
              <w:tabs>
                <w:tab w:val="left" w:pos="769"/>
              </w:tabs>
              <w:spacing w:before="120" w:line="270" w:lineRule="exact"/>
              <w:ind w:right="49"/>
              <w:jc w:val="both"/>
              <w:rPr>
                <w:lang w:val="de-DE"/>
              </w:rPr>
            </w:pPr>
            <w:r>
              <w:rPr>
                <w:u w:val="single"/>
                <w:lang w:val="de-DE"/>
              </w:rPr>
              <w:t>Auskunftsrecht</w:t>
            </w:r>
            <w:r>
              <w:rPr>
                <w:lang w:val="de-DE"/>
              </w:rPr>
              <w:t>: Sie haben das Recht, jederzeit Auskunft über Ihre personenbezogenen Daten zu erhalten, indem Sie einen Nachweis bei uns anfordern, welche Ihrer personenbezogenen Daten wir erhoben haben und verarbeiten.</w:t>
            </w:r>
          </w:p>
        </w:tc>
      </w:tr>
    </w:tbl>
    <w:p w14:paraId="316AB37B" w14:textId="77777777" w:rsidR="009A00BE" w:rsidRPr="007227B1" w:rsidRDefault="009A00BE">
      <w:pPr>
        <w:spacing w:line="270" w:lineRule="exact"/>
        <w:jc w:val="both"/>
        <w:rPr>
          <w:lang w:val="de-DE"/>
        </w:rPr>
        <w:sectPr w:rsidR="009A00BE" w:rsidRPr="007227B1" w:rsidSect="009213F5">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2543D9" w14:paraId="316AB37D" w14:textId="77777777">
        <w:trPr>
          <w:trHeight w:val="1085"/>
        </w:trPr>
        <w:tc>
          <w:tcPr>
            <w:tcW w:w="9241" w:type="dxa"/>
          </w:tcPr>
          <w:p w14:paraId="316AB37C" w14:textId="77777777" w:rsidR="009A00BE" w:rsidRPr="007227B1" w:rsidRDefault="00AF531F">
            <w:pPr>
              <w:pStyle w:val="TableParagraph"/>
              <w:numPr>
                <w:ilvl w:val="0"/>
                <w:numId w:val="5"/>
              </w:numPr>
              <w:tabs>
                <w:tab w:val="left" w:pos="769"/>
              </w:tabs>
              <w:spacing w:before="0" w:line="270" w:lineRule="atLeast"/>
              <w:ind w:right="48"/>
              <w:jc w:val="both"/>
              <w:rPr>
                <w:lang w:val="de-DE"/>
              </w:rPr>
            </w:pPr>
            <w:r>
              <w:rPr>
                <w:u w:val="single"/>
                <w:lang w:val="de-DE"/>
              </w:rPr>
              <w:t>Recht auf Berichtigung oder Löschung</w:t>
            </w:r>
            <w:r>
              <w:rPr>
                <w:lang w:val="de-DE"/>
              </w:rPr>
              <w:t>: Sie haben das Recht, jederzeit eine Berichtigung, Vervollständigung oder Ergänzung Ihrer personenbezogenen Daten zu verlangen. Sie haben das Recht, die Löschung Ihrer personenbezogenen Daten zu verlangen. Wir kommen dieser Aufforderung nach, sofern wir nicht per Gesetz oder aus anderen rechtlichen Gründen verpflichtet sind, bestimmte Daten weiter vorzuhalten.</w:t>
            </w:r>
          </w:p>
        </w:tc>
      </w:tr>
      <w:tr w:rsidR="009A00BE" w:rsidRPr="002543D9" w14:paraId="316AB37F" w14:textId="77777777">
        <w:trPr>
          <w:trHeight w:val="543"/>
        </w:trPr>
        <w:tc>
          <w:tcPr>
            <w:tcW w:w="9241" w:type="dxa"/>
          </w:tcPr>
          <w:p w14:paraId="316AB37E" w14:textId="77777777" w:rsidR="009A00BE" w:rsidRPr="007227B1" w:rsidRDefault="00AF531F">
            <w:pPr>
              <w:pStyle w:val="TableParagraph"/>
              <w:numPr>
                <w:ilvl w:val="0"/>
                <w:numId w:val="4"/>
              </w:numPr>
              <w:tabs>
                <w:tab w:val="left" w:pos="769"/>
              </w:tabs>
              <w:spacing w:before="0" w:line="268" w:lineRule="exact"/>
              <w:ind w:right="56"/>
              <w:rPr>
                <w:lang w:val="de-DE"/>
              </w:rPr>
            </w:pPr>
            <w:r>
              <w:rPr>
                <w:u w:val="single"/>
                <w:lang w:val="de-DE"/>
              </w:rPr>
              <w:t>Recht auf Einschränkung der Verarbeitung</w:t>
            </w:r>
            <w:r>
              <w:rPr>
                <w:lang w:val="de-DE"/>
              </w:rPr>
              <w:t>: Sie haben das Recht, bestimmten Arten der Verarbeitung zu widersprechen, beispielsweise wenn wir Ihre personenbezogenen Daten auf Basis eines berechtigten Interesses verarbeiten.</w:t>
            </w:r>
          </w:p>
        </w:tc>
      </w:tr>
      <w:tr w:rsidR="009A00BE" w:rsidRPr="002543D9" w14:paraId="316AB381" w14:textId="77777777">
        <w:trPr>
          <w:trHeight w:val="548"/>
        </w:trPr>
        <w:tc>
          <w:tcPr>
            <w:tcW w:w="9241" w:type="dxa"/>
          </w:tcPr>
          <w:p w14:paraId="316AB380" w14:textId="77777777" w:rsidR="009A00BE" w:rsidRPr="007227B1" w:rsidRDefault="00AF531F">
            <w:pPr>
              <w:pStyle w:val="TableParagraph"/>
              <w:numPr>
                <w:ilvl w:val="0"/>
                <w:numId w:val="3"/>
              </w:numPr>
              <w:tabs>
                <w:tab w:val="left" w:pos="769"/>
              </w:tabs>
              <w:spacing w:before="0" w:line="270" w:lineRule="atLeast"/>
              <w:ind w:right="50"/>
              <w:rPr>
                <w:lang w:val="de-DE"/>
              </w:rPr>
            </w:pPr>
            <w:r>
              <w:rPr>
                <w:u w:val="single"/>
                <w:lang w:val="de-DE"/>
              </w:rPr>
              <w:t>Recht auf Datenübertragbarkeit</w:t>
            </w:r>
            <w:r>
              <w:rPr>
                <w:lang w:val="de-DE"/>
              </w:rPr>
              <w:t>: Sie haben das Recht, die Übertragung sämtlicher Ihrer von uns verarbeiteten personenbezogenen Daten an Sie oder direkt an ein anderes Unternehmen zu verlangen.</w:t>
            </w:r>
          </w:p>
        </w:tc>
      </w:tr>
      <w:tr w:rsidR="009A00BE" w:rsidRPr="008B5EE0" w14:paraId="316AB384" w14:textId="77777777">
        <w:trPr>
          <w:trHeight w:val="1353"/>
        </w:trPr>
        <w:tc>
          <w:tcPr>
            <w:tcW w:w="9241" w:type="dxa"/>
          </w:tcPr>
          <w:p w14:paraId="316AB382" w14:textId="77777777" w:rsidR="009A00BE" w:rsidRPr="007227B1" w:rsidRDefault="00AF531F">
            <w:pPr>
              <w:pStyle w:val="TableParagraph"/>
              <w:numPr>
                <w:ilvl w:val="0"/>
                <w:numId w:val="2"/>
              </w:numPr>
              <w:tabs>
                <w:tab w:val="left" w:pos="769"/>
              </w:tabs>
              <w:spacing w:before="0"/>
              <w:ind w:right="48"/>
              <w:jc w:val="both"/>
              <w:rPr>
                <w:lang w:val="de-DE"/>
              </w:rPr>
            </w:pPr>
            <w:r>
              <w:rPr>
                <w:u w:val="single"/>
                <w:lang w:val="de-DE"/>
              </w:rPr>
              <w:t>Widerspruchsrecht</w:t>
            </w:r>
            <w:r>
              <w:rPr>
                <w:lang w:val="de-DE"/>
              </w:rPr>
              <w:t>: Wenn wir Ihre personenbezogenen Daten auf Basis Ihrer Einwilligung verarbeiten, können Sie Ihre Einwilligung jederzeit ohne Angabe von Gründen und ohne Gebühr widerrufen. Wir stellen die Verarbeitung von auf dieser rechtlichen Basis erhobenen personenbezogenen Daten daraufhin unverzüglich ein, doch der Widerruf der Einwilligung wirkt sich nicht auf die Rechtmäßigkeit der einwilligungsbasierten Verarbeitung vor</w:t>
            </w:r>
          </w:p>
          <w:p w14:paraId="316AB383" w14:textId="77777777" w:rsidR="009A00BE" w:rsidRPr="008B5EE0" w:rsidRDefault="00AF531F">
            <w:pPr>
              <w:pStyle w:val="TableParagraph"/>
              <w:spacing w:before="2" w:line="245" w:lineRule="exact"/>
              <w:ind w:left="769"/>
            </w:pPr>
            <w:r>
              <w:rPr>
                <w:lang w:val="de-DE"/>
              </w:rPr>
              <w:t>dem Widerruf aus.</w:t>
            </w:r>
          </w:p>
        </w:tc>
      </w:tr>
      <w:tr w:rsidR="009A00BE" w:rsidRPr="007227B1" w14:paraId="316AB386" w14:textId="77777777">
        <w:trPr>
          <w:trHeight w:val="1242"/>
        </w:trPr>
        <w:tc>
          <w:tcPr>
            <w:tcW w:w="9241" w:type="dxa"/>
          </w:tcPr>
          <w:p w14:paraId="316AB385" w14:textId="77777777" w:rsidR="009A00BE" w:rsidRPr="007227B1" w:rsidRDefault="00AF531F">
            <w:pPr>
              <w:pStyle w:val="TableParagraph"/>
              <w:numPr>
                <w:ilvl w:val="0"/>
                <w:numId w:val="1"/>
              </w:numPr>
              <w:tabs>
                <w:tab w:val="left" w:pos="769"/>
              </w:tabs>
              <w:spacing w:before="1"/>
              <w:ind w:right="51"/>
              <w:jc w:val="both"/>
              <w:rPr>
                <w:lang w:val="de-DE"/>
              </w:rPr>
            </w:pPr>
            <w:r>
              <w:rPr>
                <w:u w:val="single"/>
                <w:lang w:val="de-DE"/>
              </w:rPr>
              <w:t>Recht auf Beschwerde bei einer Aufsichtsbehörde</w:t>
            </w:r>
            <w:r>
              <w:rPr>
                <w:lang w:val="de-DE"/>
              </w:rPr>
              <w:t xml:space="preserve">: Sie haben das Recht, bei der zuständigen Datenschutzaufsichtsbehörde eine Beschwerde einzureichen: Croatian Personal Data Protection Agency, Selska ulica 136, 10000 Zagreb, Kroatien, Tel: +385 (01) 4609-000, E-Mail: </w:t>
            </w:r>
            <w:hyperlink r:id="rId15">
              <w:r>
                <w:rPr>
                  <w:lang w:val="de-DE"/>
                </w:rPr>
                <w:t>azop@azop.hr,</w:t>
              </w:r>
            </w:hyperlink>
            <w:r>
              <w:rPr>
                <w:lang w:val="de-DE"/>
              </w:rPr>
              <w:t xml:space="preserve"> Internet: </w:t>
            </w:r>
            <w:hyperlink r:id="rId16">
              <w:r>
                <w:rPr>
                  <w:lang w:val="de-DE"/>
                </w:rPr>
                <w:t>www.azop.hr</w:t>
              </w:r>
            </w:hyperlink>
          </w:p>
        </w:tc>
      </w:tr>
      <w:tr w:rsidR="009A00BE" w:rsidRPr="002543D9" w14:paraId="316AB388" w14:textId="77777777">
        <w:trPr>
          <w:trHeight w:val="1610"/>
        </w:trPr>
        <w:tc>
          <w:tcPr>
            <w:tcW w:w="9241" w:type="dxa"/>
          </w:tcPr>
          <w:p w14:paraId="316AB387" w14:textId="77777777" w:rsidR="009A00BE" w:rsidRPr="007227B1" w:rsidRDefault="00AF531F">
            <w:pPr>
              <w:pStyle w:val="TableParagraph"/>
              <w:ind w:right="48"/>
              <w:jc w:val="both"/>
              <w:rPr>
                <w:lang w:val="de-DE"/>
              </w:rPr>
            </w:pPr>
            <w:r>
              <w:rPr>
                <w:lang w:val="de-DE"/>
              </w:rPr>
              <w:t xml:space="preserve">Unsere Produkte und Dienste sind für die Verwendung durch Personen bestimmt, die mindestens 16 Jahre alt sind. Wenn ein Kind unter 16 Jahren Dienste nutzen möchte, für die wir personenbezogene Daten verarbeiten, benötigt das Kind die Einwilligung der Eltern oder Erziehungsberechtigten. Wenn Sie glauben, dass ein Kind unter 16 Jahren (ohne elterliche Einwilligung) Dienste nutzt, für die wir personenbezogene Daten verarbeiten, informieren Sie uns bitte per E-Mail an: </w:t>
            </w:r>
            <w:hyperlink r:id="rId17">
              <w:r>
                <w:rPr>
                  <w:color w:val="0462C1"/>
                  <w:u w:val="single"/>
                  <w:lang w:val="de-DE"/>
                </w:rPr>
                <w:t>info@gamepires.com</w:t>
              </w:r>
            </w:hyperlink>
            <w:r>
              <w:rPr>
                <w:lang w:val="de-DE"/>
              </w:rPr>
              <w:t>.</w:t>
            </w:r>
          </w:p>
        </w:tc>
      </w:tr>
      <w:tr w:rsidR="009A00BE" w:rsidRPr="002543D9" w14:paraId="316AB38A" w14:textId="77777777">
        <w:trPr>
          <w:trHeight w:val="648"/>
        </w:trPr>
        <w:tc>
          <w:tcPr>
            <w:tcW w:w="9241" w:type="dxa"/>
          </w:tcPr>
          <w:p w14:paraId="316AB389" w14:textId="77777777" w:rsidR="009A00BE" w:rsidRPr="007227B1" w:rsidRDefault="00AF531F">
            <w:pPr>
              <w:pStyle w:val="TableParagraph"/>
              <w:spacing w:before="88" w:line="270" w:lineRule="atLeast"/>
              <w:rPr>
                <w:lang w:val="de-DE"/>
              </w:rPr>
            </w:pPr>
            <w:r>
              <w:rPr>
                <w:lang w:val="de-DE"/>
              </w:rPr>
              <w:t xml:space="preserve">Anfragen aller Art können schriftlich an Gamepires d.o.o., Slavonska Avenija 6a, Zagreb, Kroatien gesendet werden, oder per E-Mail an: </w:t>
            </w:r>
            <w:hyperlink r:id="rId18">
              <w:r>
                <w:rPr>
                  <w:lang w:val="de-DE"/>
                </w:rPr>
                <w:t>info@gamepires.com.</w:t>
              </w:r>
            </w:hyperlink>
          </w:p>
        </w:tc>
      </w:tr>
    </w:tbl>
    <w:p w14:paraId="316AB38B" w14:textId="77777777" w:rsidR="00AF531F" w:rsidRPr="007227B1" w:rsidRDefault="00AF531F">
      <w:pPr>
        <w:rPr>
          <w:lang w:val="de-DE"/>
        </w:rPr>
      </w:pPr>
    </w:p>
    <w:sectPr w:rsidR="00AF531F" w:rsidRPr="007227B1">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5FDE2331" w14:textId="77777777" w:rsidR="002543D9" w:rsidRDefault="002543D9" w:rsidP="002543D9">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DE23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DE2331"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2543D9"/>
    <w:rsid w:val="003E008F"/>
    <w:rsid w:val="005F3D8F"/>
    <w:rsid w:val="00603C4A"/>
    <w:rsid w:val="00633896"/>
    <w:rsid w:val="006F23DA"/>
    <w:rsid w:val="007227B1"/>
    <w:rsid w:val="00771C7F"/>
    <w:rsid w:val="00773654"/>
    <w:rsid w:val="00790A6F"/>
    <w:rsid w:val="007B719C"/>
    <w:rsid w:val="007E373D"/>
    <w:rsid w:val="00817921"/>
    <w:rsid w:val="008B5EE0"/>
    <w:rsid w:val="008B65DA"/>
    <w:rsid w:val="009213F5"/>
    <w:rsid w:val="009A00BE"/>
    <w:rsid w:val="00A957CB"/>
    <w:rsid w:val="00AF531F"/>
    <w:rsid w:val="00C35769"/>
    <w:rsid w:val="00D94542"/>
    <w:rsid w:val="00D97E35"/>
    <w:rsid w:val="00DC0D12"/>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ools.google.com/dlpage/gaoptout"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de-DE/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16694</Characters>
  <Application>Microsoft Office Word</Application>
  <DocSecurity>0</DocSecurity>
  <Lines>139</Lines>
  <Paragraphs>39</Paragraphs>
  <ScaleCrop>false</ScaleCrop>
  <Company>Jagex Limited</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25</cp:revision>
  <dcterms:created xsi:type="dcterms:W3CDTF">2023-12-05T10:46:00Z</dcterms:created>
  <dcterms:modified xsi:type="dcterms:W3CDTF">2025-05-09T15:56:00Z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